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54" w:rsidRDefault="00BE0654" w:rsidP="00BE0654">
      <w:pPr>
        <w:spacing w:line="580" w:lineRule="exact"/>
        <w:rPr>
          <w:rFonts w:ascii="黑体" w:eastAsia="黑体" w:hAnsi="黑体" w:hint="eastAsia"/>
          <w:sz w:val="32"/>
          <w:szCs w:val="32"/>
        </w:rPr>
      </w:pPr>
      <w:r>
        <w:rPr>
          <w:rFonts w:ascii="黑体" w:eastAsia="黑体" w:hAnsi="黑体" w:hint="eastAsia"/>
          <w:sz w:val="32"/>
          <w:szCs w:val="32"/>
        </w:rPr>
        <w:t>附件1</w:t>
      </w:r>
    </w:p>
    <w:p w:rsidR="00BE0654" w:rsidRDefault="00BE0654" w:rsidP="00BE0654">
      <w:pPr>
        <w:spacing w:line="580" w:lineRule="exact"/>
        <w:jc w:val="center"/>
        <w:rPr>
          <w:rFonts w:ascii="宋体" w:hAnsi="宋体" w:hint="eastAsia"/>
          <w:b/>
          <w:sz w:val="40"/>
          <w:szCs w:val="36"/>
        </w:rPr>
      </w:pPr>
      <w:r>
        <w:rPr>
          <w:rFonts w:ascii="宋体" w:hAnsi="宋体" w:hint="eastAsia"/>
          <w:b/>
          <w:sz w:val="40"/>
          <w:szCs w:val="36"/>
        </w:rPr>
        <w:t>2019年度深圳市民办幼儿园年检评分表</w:t>
      </w:r>
    </w:p>
    <w:p w:rsidR="00BE0654" w:rsidRDefault="00BE0654" w:rsidP="00BE0654">
      <w:pPr>
        <w:spacing w:line="580" w:lineRule="exact"/>
        <w:ind w:leftChars="-270" w:left="-567" w:firstLineChars="176" w:firstLine="424"/>
        <w:rPr>
          <w:rFonts w:ascii="宋体" w:hAnsi="宋体" w:hint="eastAsia"/>
          <w:b/>
          <w:sz w:val="24"/>
          <w:u w:val="single"/>
        </w:rPr>
      </w:pPr>
      <w:r>
        <w:rPr>
          <w:rFonts w:ascii="宋体" w:hAnsi="宋体" w:hint="eastAsia"/>
          <w:b/>
          <w:sz w:val="24"/>
        </w:rPr>
        <w:t>幼儿园名称（盖章）：</w:t>
      </w:r>
      <w:r>
        <w:rPr>
          <w:rFonts w:ascii="宋体" w:hAnsi="宋体" w:hint="eastAsia"/>
          <w:b/>
          <w:sz w:val="24"/>
          <w:u w:val="single"/>
        </w:rPr>
        <w:t xml:space="preserve">                       </w:t>
      </w:r>
      <w:r>
        <w:rPr>
          <w:rFonts w:ascii="宋体" w:hAnsi="宋体" w:hint="eastAsia"/>
          <w:b/>
          <w:sz w:val="24"/>
        </w:rPr>
        <w:t xml:space="preserve">         填表时间</w:t>
      </w:r>
      <w:r>
        <w:rPr>
          <w:rFonts w:ascii="宋体" w:hAnsi="宋体" w:hint="eastAsia"/>
          <w:b/>
          <w:sz w:val="24"/>
          <w:u w:val="single"/>
        </w:rPr>
        <w:t xml:space="preserve"> 2020</w:t>
      </w:r>
      <w:r>
        <w:rPr>
          <w:rFonts w:ascii="宋体" w:hAnsi="宋体" w:hint="eastAsia"/>
          <w:b/>
          <w:sz w:val="24"/>
        </w:rPr>
        <w:t>年</w:t>
      </w:r>
      <w:r>
        <w:rPr>
          <w:rFonts w:ascii="宋体" w:hAnsi="宋体" w:hint="eastAsia"/>
          <w:b/>
          <w:sz w:val="24"/>
          <w:u w:val="single"/>
        </w:rPr>
        <w:t xml:space="preserve">     </w:t>
      </w:r>
      <w:r>
        <w:rPr>
          <w:rFonts w:ascii="宋体" w:hAnsi="宋体" w:hint="eastAsia"/>
          <w:b/>
          <w:sz w:val="24"/>
        </w:rPr>
        <w:t xml:space="preserve">月 </w:t>
      </w:r>
      <w:r>
        <w:rPr>
          <w:rFonts w:ascii="宋体" w:hAnsi="宋体" w:hint="eastAsia"/>
          <w:b/>
          <w:sz w:val="24"/>
          <w:u w:val="single"/>
        </w:rPr>
        <w:t xml:space="preserve">    </w:t>
      </w:r>
      <w:r>
        <w:rPr>
          <w:rFonts w:ascii="宋体" w:hAnsi="宋体" w:hint="eastAsia"/>
          <w:b/>
          <w:sz w:val="24"/>
        </w:rPr>
        <w:t>日 ；填表人</w:t>
      </w:r>
      <w:r>
        <w:rPr>
          <w:rFonts w:ascii="宋体" w:hAnsi="宋体" w:hint="eastAsia"/>
          <w:b/>
          <w:sz w:val="24"/>
          <w:u w:val="single"/>
        </w:rPr>
        <w:t xml:space="preserve">         </w:t>
      </w:r>
      <w:r>
        <w:rPr>
          <w:rFonts w:ascii="宋体" w:hAnsi="宋体" w:hint="eastAsia"/>
          <w:b/>
          <w:sz w:val="24"/>
        </w:rPr>
        <w:t>；联系电话</w:t>
      </w:r>
      <w:r>
        <w:rPr>
          <w:rFonts w:ascii="宋体" w:hAnsi="宋体" w:hint="eastAsia"/>
          <w:b/>
          <w:sz w:val="24"/>
          <w:u w:val="single"/>
        </w:rPr>
        <w:t xml:space="preserve">                             </w:t>
      </w:r>
    </w:p>
    <w:tbl>
      <w:tblPr>
        <w:tblW w:w="153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428"/>
        <w:gridCol w:w="9973"/>
        <w:gridCol w:w="525"/>
        <w:gridCol w:w="630"/>
        <w:gridCol w:w="840"/>
        <w:gridCol w:w="1365"/>
      </w:tblGrid>
      <w:tr w:rsidR="00BE0654" w:rsidTr="00BE0654">
        <w:trPr>
          <w:trHeight w:val="70"/>
          <w:tblHeader/>
        </w:trPr>
        <w:tc>
          <w:tcPr>
            <w:tcW w:w="1569" w:type="dxa"/>
            <w:vMerge w:val="restart"/>
            <w:tcBorders>
              <w:top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年 检 内 容</w:t>
            </w:r>
          </w:p>
        </w:tc>
        <w:tc>
          <w:tcPr>
            <w:tcW w:w="428" w:type="dxa"/>
            <w:vMerge w:val="restart"/>
            <w:tcBorders>
              <w:top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序号</w:t>
            </w:r>
          </w:p>
        </w:tc>
        <w:tc>
          <w:tcPr>
            <w:tcW w:w="9973" w:type="dxa"/>
            <w:vMerge w:val="restart"/>
            <w:tcBorders>
              <w:top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检    查    标    准</w:t>
            </w:r>
          </w:p>
        </w:tc>
        <w:tc>
          <w:tcPr>
            <w:tcW w:w="1995" w:type="dxa"/>
            <w:gridSpan w:val="3"/>
            <w:tcBorders>
              <w:top w:val="single" w:sz="4" w:space="0" w:color="auto"/>
              <w:bottom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得   分</w:t>
            </w:r>
          </w:p>
        </w:tc>
        <w:tc>
          <w:tcPr>
            <w:tcW w:w="1365" w:type="dxa"/>
            <w:vMerge w:val="restart"/>
            <w:tcBorders>
              <w:top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存在问题</w:t>
            </w:r>
          </w:p>
        </w:tc>
      </w:tr>
      <w:tr w:rsidR="00BE0654" w:rsidTr="00BE0654">
        <w:trPr>
          <w:trHeight w:val="408"/>
          <w:tblHeader/>
        </w:trPr>
        <w:tc>
          <w:tcPr>
            <w:tcW w:w="1569" w:type="dxa"/>
            <w:vMerge/>
            <w:tcBorders>
              <w:bottom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p>
        </w:tc>
        <w:tc>
          <w:tcPr>
            <w:tcW w:w="428" w:type="dxa"/>
            <w:vMerge/>
            <w:tcBorders>
              <w:bottom w:val="single" w:sz="4" w:space="0" w:color="auto"/>
            </w:tcBorders>
          </w:tcPr>
          <w:p w:rsidR="00BE0654" w:rsidRDefault="00BE0654" w:rsidP="00AD6812">
            <w:pPr>
              <w:adjustRightInd w:val="0"/>
              <w:snapToGrid w:val="0"/>
              <w:spacing w:line="240" w:lineRule="exact"/>
              <w:jc w:val="center"/>
              <w:rPr>
                <w:rFonts w:ascii="宋体" w:hAnsi="宋体" w:hint="eastAsia"/>
                <w:b/>
                <w:szCs w:val="21"/>
              </w:rPr>
            </w:pPr>
          </w:p>
        </w:tc>
        <w:tc>
          <w:tcPr>
            <w:tcW w:w="9973" w:type="dxa"/>
            <w:vMerge/>
            <w:tcBorders>
              <w:bottom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p>
        </w:tc>
        <w:tc>
          <w:tcPr>
            <w:tcW w:w="525" w:type="dxa"/>
            <w:tcBorders>
              <w:top w:val="single" w:sz="4" w:space="0" w:color="auto"/>
              <w:bottom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自评</w:t>
            </w:r>
          </w:p>
        </w:tc>
        <w:tc>
          <w:tcPr>
            <w:tcW w:w="630" w:type="dxa"/>
            <w:tcBorders>
              <w:top w:val="single" w:sz="4" w:space="0" w:color="auto"/>
              <w:bottom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检查</w:t>
            </w:r>
          </w:p>
        </w:tc>
        <w:tc>
          <w:tcPr>
            <w:tcW w:w="840" w:type="dxa"/>
            <w:tcBorders>
              <w:top w:val="single" w:sz="4" w:space="0" w:color="auto"/>
              <w:bottom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r>
              <w:rPr>
                <w:rFonts w:ascii="宋体" w:hAnsi="宋体" w:hint="eastAsia"/>
                <w:b/>
                <w:szCs w:val="21"/>
              </w:rPr>
              <w:t>小计</w:t>
            </w:r>
          </w:p>
        </w:tc>
        <w:tc>
          <w:tcPr>
            <w:tcW w:w="1365" w:type="dxa"/>
            <w:vMerge/>
            <w:tcBorders>
              <w:bottom w:val="single" w:sz="4" w:space="0" w:color="auto"/>
            </w:tcBorders>
            <w:vAlign w:val="center"/>
          </w:tcPr>
          <w:p w:rsidR="00BE0654" w:rsidRDefault="00BE0654" w:rsidP="00AD6812">
            <w:pPr>
              <w:adjustRightInd w:val="0"/>
              <w:snapToGrid w:val="0"/>
              <w:spacing w:line="240" w:lineRule="exact"/>
              <w:jc w:val="center"/>
              <w:rPr>
                <w:rFonts w:ascii="宋体" w:hAnsi="宋体" w:hint="eastAsia"/>
                <w:b/>
                <w:szCs w:val="21"/>
              </w:rPr>
            </w:pPr>
          </w:p>
        </w:tc>
      </w:tr>
      <w:tr w:rsidR="00BE0654" w:rsidTr="00BE0654">
        <w:trPr>
          <w:trHeight w:val="312"/>
        </w:trPr>
        <w:tc>
          <w:tcPr>
            <w:tcW w:w="1569" w:type="dxa"/>
            <w:vMerge w:val="restart"/>
            <w:tcBorders>
              <w:top w:val="single" w:sz="4" w:space="0" w:color="auto"/>
            </w:tcBorders>
            <w:vAlign w:val="center"/>
          </w:tcPr>
          <w:p w:rsidR="00BE0654" w:rsidRDefault="00BE0654" w:rsidP="00AD6812">
            <w:pPr>
              <w:widowControl/>
              <w:tabs>
                <w:tab w:val="left" w:pos="1360"/>
              </w:tabs>
              <w:adjustRightInd w:val="0"/>
              <w:snapToGrid w:val="0"/>
              <w:jc w:val="center"/>
              <w:rPr>
                <w:rFonts w:ascii="宋体" w:hAnsi="宋体" w:cs="宋体" w:hint="eastAsia"/>
                <w:kern w:val="0"/>
                <w:szCs w:val="21"/>
              </w:rPr>
            </w:pPr>
            <w:r>
              <w:rPr>
                <w:rFonts w:ascii="宋体" w:hAnsi="宋体" w:cs="宋体" w:hint="eastAsia"/>
                <w:kern w:val="0"/>
                <w:szCs w:val="21"/>
              </w:rPr>
              <w:t>办学资质</w:t>
            </w:r>
          </w:p>
          <w:p w:rsidR="00BE0654" w:rsidRDefault="00BE0654" w:rsidP="00AD6812">
            <w:pPr>
              <w:widowControl/>
              <w:tabs>
                <w:tab w:val="left" w:pos="1360"/>
              </w:tabs>
              <w:adjustRightInd w:val="0"/>
              <w:snapToGrid w:val="0"/>
              <w:jc w:val="center"/>
              <w:rPr>
                <w:rFonts w:ascii="宋体" w:hAnsi="宋体" w:cs="宋体" w:hint="eastAsia"/>
                <w:kern w:val="0"/>
                <w:szCs w:val="21"/>
              </w:rPr>
            </w:pPr>
            <w:r>
              <w:rPr>
                <w:rFonts w:ascii="宋体" w:hAnsi="宋体" w:cs="宋体" w:hint="eastAsia"/>
                <w:kern w:val="0"/>
                <w:szCs w:val="21"/>
              </w:rPr>
              <w:t>（4分）</w:t>
            </w:r>
          </w:p>
        </w:tc>
        <w:tc>
          <w:tcPr>
            <w:tcW w:w="428" w:type="dxa"/>
            <w:tcBorders>
              <w:top w:val="single" w:sz="4" w:space="0" w:color="auto"/>
            </w:tcBorders>
            <w:vAlign w:val="center"/>
          </w:tcPr>
          <w:p w:rsidR="00BE0654" w:rsidRDefault="00BE0654" w:rsidP="00AD6812">
            <w:pPr>
              <w:widowControl/>
              <w:tabs>
                <w:tab w:val="left" w:pos="1360"/>
              </w:tabs>
              <w:adjustRightInd w:val="0"/>
              <w:snapToGrid w:val="0"/>
              <w:jc w:val="center"/>
              <w:rPr>
                <w:rFonts w:ascii="宋体" w:hAnsi="宋体" w:cs="宋体" w:hint="eastAsia"/>
                <w:kern w:val="0"/>
                <w:szCs w:val="21"/>
              </w:rPr>
            </w:pPr>
            <w:r>
              <w:rPr>
                <w:rFonts w:ascii="宋体" w:hAnsi="宋体" w:cs="宋体" w:hint="eastAsia"/>
                <w:kern w:val="0"/>
                <w:szCs w:val="21"/>
              </w:rPr>
              <w:t>1</w:t>
            </w:r>
          </w:p>
        </w:tc>
        <w:tc>
          <w:tcPr>
            <w:tcW w:w="9973" w:type="dxa"/>
            <w:tcBorders>
              <w:top w:val="single" w:sz="4" w:space="0" w:color="auto"/>
            </w:tcBorders>
            <w:vAlign w:val="center"/>
          </w:tcPr>
          <w:p w:rsidR="00BE0654" w:rsidRDefault="00BE0654" w:rsidP="00AD6812">
            <w:pPr>
              <w:widowControl/>
              <w:tabs>
                <w:tab w:val="left" w:pos="1360"/>
              </w:tabs>
              <w:adjustRightInd w:val="0"/>
              <w:snapToGrid w:val="0"/>
              <w:rPr>
                <w:rFonts w:ascii="宋体" w:hAnsi="宋体" w:cs="宋体" w:hint="eastAsia"/>
                <w:kern w:val="0"/>
                <w:szCs w:val="21"/>
              </w:rPr>
            </w:pPr>
            <w:r>
              <w:rPr>
                <w:rFonts w:ascii="宋体" w:hAnsi="宋体" w:cs="宋体" w:hint="eastAsia"/>
                <w:kern w:val="0"/>
                <w:szCs w:val="21"/>
              </w:rPr>
              <w:t>《幼儿园章程》内容及管理制度符合《中华人民共和国民办教育促进法》及其实施条例有关规定。（1分）</w:t>
            </w:r>
          </w:p>
        </w:tc>
        <w:tc>
          <w:tcPr>
            <w:tcW w:w="525" w:type="dxa"/>
            <w:tcBorders>
              <w:top w:val="single" w:sz="4" w:space="0" w:color="auto"/>
            </w:tcBorders>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tcBorders>
              <w:top w:val="single" w:sz="4" w:space="0" w:color="auto"/>
            </w:tcBorders>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restart"/>
            <w:tcBorders>
              <w:top w:val="single" w:sz="4" w:space="0" w:color="auto"/>
            </w:tcBorders>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restart"/>
            <w:tcBorders>
              <w:top w:val="single" w:sz="4" w:space="0" w:color="auto"/>
            </w:tcBorders>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61"/>
        </w:trPr>
        <w:tc>
          <w:tcPr>
            <w:tcW w:w="1569" w:type="dxa"/>
            <w:vMerge/>
            <w:vAlign w:val="center"/>
          </w:tcPr>
          <w:p w:rsidR="00BE0654" w:rsidRDefault="00BE0654" w:rsidP="00AD6812">
            <w:pPr>
              <w:widowControl/>
              <w:tabs>
                <w:tab w:val="left" w:pos="1360"/>
              </w:tabs>
              <w:adjustRightInd w:val="0"/>
              <w:snapToGrid w:val="0"/>
              <w:jc w:val="center"/>
              <w:rPr>
                <w:rFonts w:ascii="宋体" w:hAnsi="宋体" w:cs="宋体" w:hint="eastAsia"/>
                <w:kern w:val="0"/>
                <w:szCs w:val="21"/>
              </w:rPr>
            </w:pPr>
          </w:p>
        </w:tc>
        <w:tc>
          <w:tcPr>
            <w:tcW w:w="428" w:type="dxa"/>
            <w:tcBorders>
              <w:top w:val="single" w:sz="4" w:space="0" w:color="auto"/>
            </w:tcBorders>
            <w:vAlign w:val="center"/>
          </w:tcPr>
          <w:p w:rsidR="00BE0654" w:rsidRDefault="00BE0654" w:rsidP="00AD6812">
            <w:pPr>
              <w:widowControl/>
              <w:tabs>
                <w:tab w:val="left" w:pos="1360"/>
              </w:tabs>
              <w:adjustRightInd w:val="0"/>
              <w:snapToGrid w:val="0"/>
              <w:jc w:val="center"/>
              <w:rPr>
                <w:rFonts w:ascii="宋体" w:hAnsi="宋体" w:cs="宋体" w:hint="eastAsia"/>
                <w:kern w:val="0"/>
                <w:szCs w:val="21"/>
              </w:rPr>
            </w:pPr>
            <w:r>
              <w:rPr>
                <w:rFonts w:ascii="宋体" w:hAnsi="宋体" w:cs="宋体" w:hint="eastAsia"/>
                <w:kern w:val="0"/>
                <w:szCs w:val="21"/>
              </w:rPr>
              <w:t>2</w:t>
            </w:r>
          </w:p>
        </w:tc>
        <w:tc>
          <w:tcPr>
            <w:tcW w:w="9973" w:type="dxa"/>
            <w:tcBorders>
              <w:top w:val="single" w:sz="4" w:space="0" w:color="auto"/>
            </w:tcBorders>
            <w:vAlign w:val="center"/>
          </w:tcPr>
          <w:p w:rsidR="00BE0654" w:rsidRDefault="00BE0654" w:rsidP="00AD6812">
            <w:pPr>
              <w:widowControl/>
              <w:tabs>
                <w:tab w:val="left" w:pos="1360"/>
              </w:tabs>
              <w:adjustRightInd w:val="0"/>
              <w:snapToGrid w:val="0"/>
              <w:rPr>
                <w:rFonts w:ascii="宋体" w:hAnsi="宋体" w:cs="宋体" w:hint="eastAsia"/>
                <w:kern w:val="0"/>
                <w:szCs w:val="21"/>
              </w:rPr>
            </w:pPr>
            <w:r>
              <w:rPr>
                <w:rFonts w:ascii="宋体" w:hAnsi="宋体" w:cs="宋体" w:hint="eastAsia"/>
                <w:kern w:val="0"/>
                <w:szCs w:val="21"/>
              </w:rPr>
              <w:t>幼儿园有园舍建筑消防验收合格证明（消防备案资料）、食品卫生许可证、《税务登记证》、《民办非企业单位登记证》、《组织机构代码证》、《统一社会信用代码》等相关有效证件。（1分）</w:t>
            </w:r>
          </w:p>
        </w:tc>
        <w:tc>
          <w:tcPr>
            <w:tcW w:w="525" w:type="dxa"/>
            <w:tcBorders>
              <w:top w:val="single" w:sz="4" w:space="0" w:color="auto"/>
            </w:tcBorders>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tcBorders>
              <w:top w:val="single" w:sz="4" w:space="0" w:color="auto"/>
              <w:right w:val="single" w:sz="4" w:space="0" w:color="auto"/>
            </w:tcBorders>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12"/>
        </w:trPr>
        <w:tc>
          <w:tcPr>
            <w:tcW w:w="1569" w:type="dxa"/>
            <w:vMerge/>
            <w:vAlign w:val="center"/>
          </w:tcPr>
          <w:p w:rsidR="00BE0654" w:rsidRDefault="00BE0654" w:rsidP="00AD6812">
            <w:pPr>
              <w:widowControl/>
              <w:tabs>
                <w:tab w:val="left" w:pos="1360"/>
              </w:tabs>
              <w:adjustRightInd w:val="0"/>
              <w:snapToGrid w:val="0"/>
              <w:jc w:val="center"/>
              <w:rPr>
                <w:rFonts w:ascii="宋体" w:hAnsi="宋体" w:cs="宋体" w:hint="eastAsia"/>
                <w:kern w:val="0"/>
                <w:szCs w:val="21"/>
              </w:rPr>
            </w:pPr>
          </w:p>
        </w:tc>
        <w:tc>
          <w:tcPr>
            <w:tcW w:w="428" w:type="dxa"/>
            <w:vAlign w:val="center"/>
          </w:tcPr>
          <w:p w:rsidR="00BE0654" w:rsidRDefault="00BE0654" w:rsidP="00AD6812">
            <w:pPr>
              <w:widowControl/>
              <w:tabs>
                <w:tab w:val="left" w:pos="1360"/>
              </w:tabs>
              <w:adjustRightInd w:val="0"/>
              <w:snapToGrid w:val="0"/>
              <w:jc w:val="center"/>
              <w:rPr>
                <w:rFonts w:ascii="宋体" w:hAnsi="宋体" w:cs="宋体" w:hint="eastAsia"/>
                <w:kern w:val="0"/>
                <w:szCs w:val="21"/>
              </w:rPr>
            </w:pPr>
            <w:r>
              <w:rPr>
                <w:rFonts w:ascii="宋体" w:hAnsi="宋体" w:cs="宋体" w:hint="eastAsia"/>
                <w:kern w:val="0"/>
                <w:szCs w:val="21"/>
              </w:rPr>
              <w:t>3</w:t>
            </w:r>
          </w:p>
        </w:tc>
        <w:tc>
          <w:tcPr>
            <w:tcW w:w="9973" w:type="dxa"/>
            <w:tcBorders>
              <w:top w:val="single" w:sz="4" w:space="0" w:color="auto"/>
            </w:tcBorders>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具有资质的检测机构出具的园舍建筑质量检测合格证明等相关资料，保障园舍建筑安全使用。（</w:t>
            </w:r>
            <w:r>
              <w:rPr>
                <w:rFonts w:ascii="宋体" w:hAnsi="宋体" w:cs="宋体"/>
                <w:kern w:val="0"/>
                <w:szCs w:val="21"/>
              </w:rPr>
              <w:t>2</w:t>
            </w:r>
            <w:r>
              <w:rPr>
                <w:rFonts w:ascii="宋体" w:hAnsi="宋体" w:cs="宋体" w:hint="eastAsia"/>
                <w:kern w:val="0"/>
                <w:szCs w:val="21"/>
              </w:rPr>
              <w:t>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59"/>
        </w:trPr>
        <w:tc>
          <w:tcPr>
            <w:tcW w:w="1569" w:type="dxa"/>
            <w:vMerge w:val="restart"/>
            <w:vAlign w:val="center"/>
          </w:tcPr>
          <w:p w:rsidR="00BE0654" w:rsidRDefault="00BE0654" w:rsidP="00AD6812">
            <w:pPr>
              <w:widowControl/>
              <w:tabs>
                <w:tab w:val="left" w:pos="1360"/>
              </w:tabs>
              <w:adjustRightInd w:val="0"/>
              <w:snapToGrid w:val="0"/>
              <w:jc w:val="center"/>
              <w:rPr>
                <w:rFonts w:ascii="宋体" w:hAnsi="宋体" w:cs="宋体" w:hint="eastAsia"/>
                <w:kern w:val="0"/>
                <w:szCs w:val="21"/>
              </w:rPr>
            </w:pPr>
            <w:r>
              <w:rPr>
                <w:rFonts w:ascii="宋体" w:hAnsi="宋体" w:cs="宋体" w:hint="eastAsia"/>
                <w:kern w:val="0"/>
                <w:szCs w:val="21"/>
              </w:rPr>
              <w:t>行政管理</w:t>
            </w:r>
          </w:p>
          <w:p w:rsidR="00BE0654" w:rsidRDefault="00BE0654" w:rsidP="00AD6812">
            <w:pPr>
              <w:widowControl/>
              <w:tabs>
                <w:tab w:val="left" w:pos="1360"/>
              </w:tabs>
              <w:adjustRightInd w:val="0"/>
              <w:snapToGrid w:val="0"/>
              <w:jc w:val="center"/>
              <w:rPr>
                <w:rFonts w:ascii="宋体" w:hAnsi="宋体" w:cs="宋体" w:hint="eastAsia"/>
                <w:kern w:val="0"/>
                <w:szCs w:val="21"/>
              </w:rPr>
            </w:pPr>
            <w:r>
              <w:rPr>
                <w:rFonts w:ascii="宋体" w:hAnsi="宋体" w:cs="宋体" w:hint="eastAsia"/>
                <w:kern w:val="0"/>
                <w:szCs w:val="21"/>
              </w:rPr>
              <w:t>（16分）</w:t>
            </w: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4</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幼儿园理事会（或董事会）制度健全，每学期至少召开一次会议，理事会、理事会成员、法人代表及园长正常履职，关爱教职工，无违规罚款和扣押教职工或应聘人员证件现象，无股东、股权纠纷。△</w:t>
            </w:r>
            <w:r>
              <w:rPr>
                <w:rFonts w:ascii="宋体" w:hAnsi="宋体" w:cs="宋体" w:hint="eastAsia"/>
                <w:kern w:val="0"/>
                <w:szCs w:val="21"/>
              </w:rPr>
              <w:t>（2分）</w:t>
            </w:r>
          </w:p>
        </w:tc>
        <w:tc>
          <w:tcPr>
            <w:tcW w:w="525" w:type="dxa"/>
            <w:vAlign w:val="center"/>
          </w:tcPr>
          <w:p w:rsidR="00BE0654" w:rsidRDefault="00BE0654" w:rsidP="00AD6812">
            <w:pPr>
              <w:widowControl/>
              <w:adjustRightInd w:val="0"/>
              <w:snapToGrid w:val="0"/>
              <w:rPr>
                <w:rFonts w:ascii="宋体" w:hAnsi="宋体" w:cs="宋体" w:hint="eastAsia"/>
                <w:kern w:val="0"/>
                <w:szCs w:val="21"/>
              </w:rPr>
            </w:pPr>
          </w:p>
        </w:tc>
        <w:tc>
          <w:tcPr>
            <w:tcW w:w="630" w:type="dxa"/>
            <w:vAlign w:val="center"/>
          </w:tcPr>
          <w:p w:rsidR="00BE0654" w:rsidRDefault="00BE0654" w:rsidP="00AD6812">
            <w:pPr>
              <w:widowControl/>
              <w:adjustRightInd w:val="0"/>
              <w:snapToGrid w:val="0"/>
              <w:ind w:firstLineChars="200" w:firstLine="420"/>
              <w:rPr>
                <w:rFonts w:ascii="宋体" w:hAnsi="宋体" w:cs="宋体" w:hint="eastAsia"/>
                <w:kern w:val="0"/>
                <w:szCs w:val="21"/>
              </w:rPr>
            </w:pPr>
          </w:p>
        </w:tc>
        <w:tc>
          <w:tcPr>
            <w:tcW w:w="840" w:type="dxa"/>
            <w:vMerge w:val="restart"/>
            <w:vAlign w:val="center"/>
          </w:tcPr>
          <w:p w:rsidR="00BE0654" w:rsidRDefault="00BE0654" w:rsidP="00AD6812">
            <w:pPr>
              <w:widowControl/>
              <w:adjustRightInd w:val="0"/>
              <w:snapToGrid w:val="0"/>
              <w:ind w:firstLineChars="200" w:firstLine="420"/>
              <w:rPr>
                <w:rFonts w:ascii="宋体" w:hAnsi="宋体" w:cs="宋体" w:hint="eastAsia"/>
                <w:kern w:val="0"/>
                <w:szCs w:val="21"/>
              </w:rPr>
            </w:pPr>
          </w:p>
        </w:tc>
        <w:tc>
          <w:tcPr>
            <w:tcW w:w="1365"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51"/>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5</w:t>
            </w:r>
          </w:p>
        </w:tc>
        <w:tc>
          <w:tcPr>
            <w:tcW w:w="9973" w:type="dxa"/>
            <w:vAlign w:val="center"/>
          </w:tcPr>
          <w:p w:rsidR="00BE0654" w:rsidRDefault="00BE0654" w:rsidP="00AD6812">
            <w:pPr>
              <w:widowControl/>
              <w:adjustRightInd w:val="0"/>
              <w:snapToGrid w:val="0"/>
              <w:rPr>
                <w:rFonts w:ascii="宋体" w:hAnsi="宋体" w:cs="宋体" w:hint="eastAsia"/>
                <w:kern w:val="0"/>
                <w:szCs w:val="21"/>
                <w:u w:val="wave" w:color="FF0000"/>
              </w:rPr>
            </w:pPr>
            <w:r>
              <w:rPr>
                <w:rFonts w:ascii="宋体" w:hAnsi="宋体" w:cs="宋体" w:hint="eastAsia"/>
                <w:kern w:val="0"/>
                <w:szCs w:val="21"/>
              </w:rPr>
              <w:t>依法履行相关审批或备案手续（包括名称、地址、层次、类别、分立、合并、终止、收费等），无擅自变更审批或备案事项行为。（1分）·</w:t>
            </w:r>
          </w:p>
        </w:tc>
        <w:tc>
          <w:tcPr>
            <w:tcW w:w="525"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 xml:space="preserve">   </w:t>
            </w:r>
          </w:p>
        </w:tc>
        <w:tc>
          <w:tcPr>
            <w:tcW w:w="630" w:type="dxa"/>
            <w:vAlign w:val="center"/>
          </w:tcPr>
          <w:p w:rsidR="00BE0654" w:rsidRDefault="00BE0654" w:rsidP="00AD6812">
            <w:pPr>
              <w:widowControl/>
              <w:adjustRightInd w:val="0"/>
              <w:snapToGrid w:val="0"/>
              <w:ind w:firstLineChars="200" w:firstLine="420"/>
              <w:rPr>
                <w:rFonts w:ascii="宋体" w:hAnsi="宋体" w:cs="宋体" w:hint="eastAsia"/>
                <w:kern w:val="0"/>
                <w:szCs w:val="21"/>
              </w:rPr>
            </w:pPr>
          </w:p>
        </w:tc>
        <w:tc>
          <w:tcPr>
            <w:tcW w:w="840" w:type="dxa"/>
            <w:vMerge/>
            <w:vAlign w:val="center"/>
          </w:tcPr>
          <w:p w:rsidR="00BE0654" w:rsidRDefault="00BE0654" w:rsidP="00AD6812">
            <w:pPr>
              <w:widowControl/>
              <w:adjustRightInd w:val="0"/>
              <w:snapToGrid w:val="0"/>
              <w:ind w:firstLineChars="200" w:firstLine="42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9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6</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依法履行幼儿园章程、理事会或董事会成员、园长任职资格、法定代表人资格以及举办者资格的备案或核准手续。（1分）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13"/>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7</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招生简章依法备案，</w:t>
            </w:r>
            <w:proofErr w:type="gramStart"/>
            <w:r>
              <w:rPr>
                <w:rFonts w:ascii="宋体" w:hAnsi="宋体" w:cs="宋体" w:hint="eastAsia"/>
                <w:kern w:val="0"/>
                <w:szCs w:val="21"/>
              </w:rPr>
              <w:t>未发布</w:t>
            </w:r>
            <w:proofErr w:type="gramEnd"/>
            <w:r>
              <w:rPr>
                <w:rFonts w:ascii="宋体" w:hAnsi="宋体" w:cs="宋体" w:hint="eastAsia"/>
                <w:kern w:val="0"/>
                <w:szCs w:val="21"/>
              </w:rPr>
              <w:t>虚假招生信息。（1分）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1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8</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幼儿园管理机构、制度健全；管理人员配备齐全，全职参与管理，无擅自离岗或转岗现象。（2分）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28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9</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幼儿园党、团、工会等机构健全，定期组织活动。（1分）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10</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按规定建立教职工代表大会，工作正常开展并有相关会议记录，教代会每年至少召开一次。（1分）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1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11</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成立家长委员会，工作开展正常并有相关会议记录。（1分）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12</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幼儿园长期发展规划和年度工作计划完整、清晰。（1分）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28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13</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按时按质向各级主管部门上报各项工作材料。（1分）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1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14</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每学年至少组织两次家长学校活动，并有相关资料。（1分）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33"/>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15</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幼儿园投诉处理及时，未形成群体性上访事件及媒体负面报道。（1分）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34"/>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16</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按时通过幼儿园规范化验收及相应等级复评。（2分）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55"/>
        </w:trPr>
        <w:tc>
          <w:tcPr>
            <w:tcW w:w="1569" w:type="dxa"/>
            <w:vMerge w:val="restart"/>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lastRenderedPageBreak/>
              <w:t>教职工管理（18分）</w:t>
            </w: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17</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按《幼儿园教职工配备标准》的规定配备各类人员，人员配备齐全合理，</w:t>
            </w:r>
            <w:proofErr w:type="gramStart"/>
            <w:r>
              <w:rPr>
                <w:rFonts w:ascii="宋体" w:hAnsi="宋体" w:cs="宋体" w:hint="eastAsia"/>
                <w:b/>
                <w:kern w:val="0"/>
                <w:szCs w:val="21"/>
              </w:rPr>
              <w:t>师幼比</w:t>
            </w:r>
            <w:proofErr w:type="gramEnd"/>
            <w:r>
              <w:rPr>
                <w:rFonts w:ascii="宋体" w:hAnsi="宋体" w:cs="宋体" w:hint="eastAsia"/>
                <w:b/>
                <w:kern w:val="0"/>
                <w:szCs w:val="21"/>
              </w:rPr>
              <w:t>达标△</w:t>
            </w:r>
            <w:r>
              <w:rPr>
                <w:rFonts w:ascii="宋体" w:hAnsi="宋体" w:cs="宋体" w:hint="eastAsia"/>
                <w:kern w:val="0"/>
                <w:szCs w:val="21"/>
              </w:rPr>
              <w:t>（2分）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98"/>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18</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与教职工签订市教育局推荐使用的2008年</w:t>
            </w:r>
            <w:proofErr w:type="gramStart"/>
            <w:r>
              <w:rPr>
                <w:rFonts w:ascii="宋体" w:hAnsi="宋体" w:cs="宋体" w:hint="eastAsia"/>
                <w:kern w:val="0"/>
                <w:szCs w:val="21"/>
              </w:rPr>
              <w:t>版教师</w:t>
            </w:r>
            <w:proofErr w:type="gramEnd"/>
            <w:r>
              <w:rPr>
                <w:rFonts w:ascii="宋体" w:hAnsi="宋体" w:cs="宋体" w:hint="eastAsia"/>
                <w:kern w:val="0"/>
                <w:szCs w:val="21"/>
              </w:rPr>
              <w:t>聘用合同和劳动合同，无劳动合同责任纠纷。（2分）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61"/>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19</w:t>
            </w:r>
          </w:p>
        </w:tc>
        <w:tc>
          <w:tcPr>
            <w:tcW w:w="9973" w:type="dxa"/>
            <w:vAlign w:val="center"/>
          </w:tcPr>
          <w:p w:rsidR="00BE0654" w:rsidRDefault="00BE0654" w:rsidP="00AD6812">
            <w:pPr>
              <w:widowControl/>
              <w:adjustRightInd w:val="0"/>
              <w:snapToGrid w:val="0"/>
              <w:rPr>
                <w:rFonts w:ascii="宋体" w:hAnsi="宋体" w:cs="宋体" w:hint="eastAsia"/>
                <w:b/>
                <w:kern w:val="0"/>
                <w:szCs w:val="21"/>
              </w:rPr>
            </w:pPr>
            <w:r>
              <w:rPr>
                <w:rFonts w:ascii="宋体" w:hAnsi="宋体" w:cs="宋体" w:hint="eastAsia"/>
                <w:b/>
                <w:kern w:val="0"/>
                <w:szCs w:val="21"/>
              </w:rPr>
              <w:t>幼儿园聘任外籍人员，按相关规定办理外教聘用手续。△（1分）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251"/>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20</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按所签合同条款的规定按时足额发放教职工工资，委托银行代发薪酬，按《社保条例》购买社保和公积金。（2分）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21</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聘用教师学历合格率达100%。（1分）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22</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幼儿园教职工均具备岗位任职资格，持证上岗。△</w:t>
            </w:r>
            <w:r>
              <w:rPr>
                <w:rFonts w:ascii="宋体" w:hAnsi="宋体" w:cs="宋体" w:hint="eastAsia"/>
                <w:kern w:val="0"/>
                <w:szCs w:val="21"/>
              </w:rPr>
              <w:t>（2分）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23</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教职工月工资不低于我市当年职工最低工资标准，其中普惠性幼儿园教师月工资不低于最低工资标准的1.5倍。普惠园教职工年工资总额不低于当年保教费收入的40%，政府</w:t>
            </w:r>
            <w:proofErr w:type="gramStart"/>
            <w:r>
              <w:rPr>
                <w:rFonts w:ascii="宋体" w:hAnsi="宋体" w:cs="宋体" w:hint="eastAsia"/>
                <w:kern w:val="0"/>
                <w:szCs w:val="21"/>
              </w:rPr>
              <w:t>产权园</w:t>
            </w:r>
            <w:proofErr w:type="gramEnd"/>
            <w:r>
              <w:rPr>
                <w:rFonts w:ascii="宋体" w:hAnsi="宋体" w:cs="宋体" w:hint="eastAsia"/>
                <w:kern w:val="0"/>
                <w:szCs w:val="21"/>
              </w:rPr>
              <w:t>该比例达50%以上。（2分）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24</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幼儿园专任教师年流动率不高于本区教师年平均流动率。（1分）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5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25</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按要求组织并支持教师参加学历提升，幼儿园</w:t>
            </w:r>
            <w:proofErr w:type="gramStart"/>
            <w:r>
              <w:rPr>
                <w:rFonts w:ascii="宋体" w:hAnsi="宋体" w:cs="宋体" w:hint="eastAsia"/>
                <w:kern w:val="0"/>
                <w:szCs w:val="21"/>
              </w:rPr>
              <w:t>园本培训</w:t>
            </w:r>
            <w:proofErr w:type="gramEnd"/>
            <w:r>
              <w:rPr>
                <w:rFonts w:ascii="宋体" w:hAnsi="宋体" w:cs="宋体" w:hint="eastAsia"/>
                <w:kern w:val="0"/>
                <w:szCs w:val="21"/>
              </w:rPr>
              <w:t>制度健全，能按要求完成</w:t>
            </w:r>
            <w:proofErr w:type="gramStart"/>
            <w:r>
              <w:rPr>
                <w:rFonts w:ascii="宋体" w:hAnsi="宋体" w:cs="宋体" w:hint="eastAsia"/>
                <w:kern w:val="0"/>
                <w:szCs w:val="21"/>
              </w:rPr>
              <w:t>年度园本培训</w:t>
            </w:r>
            <w:proofErr w:type="gramEnd"/>
            <w:r>
              <w:rPr>
                <w:rFonts w:ascii="宋体" w:hAnsi="宋体" w:cs="宋体" w:hint="eastAsia"/>
                <w:kern w:val="0"/>
                <w:szCs w:val="21"/>
              </w:rPr>
              <w:t>学时任务。（2分）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45"/>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26</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b/>
                <w:kern w:val="0"/>
                <w:szCs w:val="21"/>
              </w:rPr>
              <w:t>师德师风建设工作到位，教职工师德良好，无违纪和违法犯罪行为，无体罚或变相体罚幼儿现象。△</w:t>
            </w:r>
            <w:r>
              <w:rPr>
                <w:rFonts w:ascii="宋体" w:hAnsi="宋体" w:cs="宋体" w:hint="eastAsia"/>
                <w:kern w:val="0"/>
                <w:szCs w:val="21"/>
              </w:rPr>
              <w:t>（2分）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35"/>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27</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教职工信息全部录入“深圳市学前教育信息管理系统”</w:t>
            </w:r>
            <w:r>
              <w:rPr>
                <w:rFonts w:ascii="宋体" w:hAnsi="宋体" w:cs="宋体" w:hint="eastAsia"/>
                <w:b/>
                <w:kern w:val="0"/>
                <w:szCs w:val="21"/>
              </w:rPr>
              <w:t xml:space="preserve"> </w:t>
            </w:r>
            <w:r>
              <w:rPr>
                <w:rFonts w:ascii="宋体" w:hAnsi="宋体" w:cs="宋体" w:hint="eastAsia"/>
                <w:kern w:val="0"/>
                <w:szCs w:val="21"/>
              </w:rPr>
              <w:t>。（1分）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99"/>
        </w:trPr>
        <w:tc>
          <w:tcPr>
            <w:tcW w:w="1569" w:type="dxa"/>
            <w:vMerge w:val="restart"/>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招生管理</w:t>
            </w:r>
          </w:p>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（6分）</w:t>
            </w:r>
          </w:p>
        </w:tc>
        <w:tc>
          <w:tcPr>
            <w:tcW w:w="428" w:type="dxa"/>
            <w:vAlign w:val="center"/>
          </w:tcPr>
          <w:p w:rsidR="00BE0654" w:rsidRDefault="00BE0654" w:rsidP="00AD6812">
            <w:pPr>
              <w:jc w:val="center"/>
              <w:rPr>
                <w:rFonts w:ascii="宋体" w:hAnsi="宋体" w:cs="宋体" w:hint="eastAsia"/>
                <w:kern w:val="0"/>
                <w:szCs w:val="21"/>
              </w:rPr>
            </w:pPr>
            <w:r>
              <w:rPr>
                <w:rFonts w:ascii="宋体" w:hAnsi="宋体" w:cs="宋体" w:hint="eastAsia"/>
                <w:kern w:val="0"/>
                <w:szCs w:val="21"/>
              </w:rPr>
              <w:t>28</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严格执行审批机关批准的招生层次和办学规模，没有招收亲子班，班级人数符合国家相关规定和督导评估标准。（2分）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6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29</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执行我市幼儿园招生管理相关要求，幼儿就近免试入园，无提前招生和其他违规招生行为。△</w:t>
            </w:r>
            <w:r>
              <w:rPr>
                <w:rFonts w:ascii="宋体" w:hAnsi="宋体" w:cs="宋体" w:hint="eastAsia"/>
                <w:kern w:val="0"/>
                <w:szCs w:val="21"/>
              </w:rPr>
              <w:t>（2分）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30</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幼儿园招生方案和宣传资料使用名称与行政部门许可名称及本园章程中名称相一致，没有虚假宣传。（1分）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279"/>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31</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及时将新生基础信息录入“深圳市学前教育信息管理系统”，进行电子学籍管理。（1分）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74"/>
        </w:trPr>
        <w:tc>
          <w:tcPr>
            <w:tcW w:w="1569" w:type="dxa"/>
            <w:vMerge w:val="restart"/>
            <w:vAlign w:val="center"/>
          </w:tcPr>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安全管理</w:t>
            </w:r>
          </w:p>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（16分）</w:t>
            </w: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安全管理</w:t>
            </w: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p w:rsidR="00BE0654" w:rsidRDefault="00BE0654" w:rsidP="00AD6812">
            <w:pPr>
              <w:widowControl/>
              <w:adjustRightInd w:val="0"/>
              <w:snapToGrid w:val="0"/>
              <w:jc w:val="center"/>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32</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建立幼儿园安全管理、幼儿园教职工安全责任制、幼儿园安全应急处置等制度，将安全教育融入幼儿园一日生活，与教职工签订安全责任书。（2分）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608"/>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33</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定期开展安全隐患排查，校舍定期检查、有维护维修记录，无安全隐患；消防设施完备正常，消防通道畅通。△</w:t>
            </w:r>
            <w:r>
              <w:rPr>
                <w:rFonts w:ascii="宋体" w:hAnsi="宋体" w:cs="宋体" w:hint="eastAsia"/>
                <w:kern w:val="0"/>
                <w:szCs w:val="21"/>
              </w:rPr>
              <w:t>（2分）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61"/>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34</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设施设备必须符合国家有关安全质量标准，相关安全标示清楚醒目，所有区域安装视频监控，监控信息储存30天以上。△</w:t>
            </w:r>
            <w:r>
              <w:rPr>
                <w:rFonts w:ascii="宋体" w:hAnsi="宋体" w:cs="宋体" w:hint="eastAsia"/>
                <w:kern w:val="0"/>
                <w:szCs w:val="21"/>
              </w:rPr>
              <w:t>（2分）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53"/>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35</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严格按照要求配齐安保人员，不少于2名，配备专兼职安全主任1名。△</w:t>
            </w:r>
            <w:r>
              <w:rPr>
                <w:rFonts w:ascii="宋体" w:hAnsi="宋体" w:cs="宋体" w:hint="eastAsia"/>
                <w:kern w:val="0"/>
                <w:szCs w:val="21"/>
              </w:rPr>
              <w:t>（2分）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7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36</w:t>
            </w:r>
          </w:p>
        </w:tc>
        <w:tc>
          <w:tcPr>
            <w:tcW w:w="9973" w:type="dxa"/>
            <w:vAlign w:val="center"/>
          </w:tcPr>
          <w:p w:rsidR="00BE0654" w:rsidRDefault="00BE0654" w:rsidP="00AD6812">
            <w:pPr>
              <w:widowControl/>
              <w:adjustRightInd w:val="0"/>
              <w:snapToGrid w:val="0"/>
              <w:rPr>
                <w:rFonts w:ascii="宋体" w:hAnsi="宋体" w:cs="宋体" w:hint="eastAsia"/>
                <w:kern w:val="0"/>
                <w:szCs w:val="21"/>
                <w:u w:val="wave" w:color="FF0000"/>
              </w:rPr>
            </w:pPr>
            <w:r>
              <w:rPr>
                <w:rFonts w:ascii="宋体" w:hAnsi="宋体" w:cs="宋体" w:hint="eastAsia"/>
                <w:kern w:val="0"/>
                <w:szCs w:val="21"/>
              </w:rPr>
              <w:t>严格执行《深圳市校车交通安全管理暂行办法》，落实校车安全检查和驾驶员管理措施，校车按要求办理校车许可证，安装卫星定位汽车行驶记录仪，驾驶员办有校车驾驶许可证。每学期对校车、驾驶员资格等情况进行一次全面检查，无超载、无违规接送车辆、无发生交通意外责任事故。（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5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37</w:t>
            </w:r>
          </w:p>
        </w:tc>
        <w:tc>
          <w:tcPr>
            <w:tcW w:w="9973" w:type="dxa"/>
            <w:vAlign w:val="center"/>
          </w:tcPr>
          <w:p w:rsidR="00BE0654" w:rsidRDefault="00BE0654" w:rsidP="00AD6812">
            <w:pPr>
              <w:widowControl/>
              <w:adjustRightInd w:val="0"/>
              <w:snapToGrid w:val="0"/>
              <w:rPr>
                <w:rFonts w:ascii="宋体" w:hAnsi="宋体" w:cs="宋体" w:hint="eastAsia"/>
                <w:b/>
                <w:kern w:val="0"/>
                <w:szCs w:val="21"/>
              </w:rPr>
            </w:pPr>
            <w:r>
              <w:rPr>
                <w:rFonts w:ascii="宋体" w:hAnsi="宋体" w:cs="宋体" w:hint="eastAsia"/>
                <w:b/>
                <w:kern w:val="0"/>
                <w:szCs w:val="21"/>
              </w:rPr>
              <w:t>为幼儿提供膳食的食堂有餐饮服务许可证，为“B”级以上。△（2分）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3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38</w:t>
            </w:r>
          </w:p>
        </w:tc>
        <w:tc>
          <w:tcPr>
            <w:tcW w:w="9973" w:type="dxa"/>
            <w:vAlign w:val="center"/>
          </w:tcPr>
          <w:p w:rsidR="00BE0654" w:rsidRDefault="00BE0654" w:rsidP="00AD6812">
            <w:pPr>
              <w:widowControl/>
              <w:adjustRightInd w:val="0"/>
              <w:snapToGrid w:val="0"/>
              <w:rPr>
                <w:rFonts w:ascii="宋体" w:hAnsi="宋体" w:cs="宋体" w:hint="eastAsia"/>
                <w:b/>
                <w:kern w:val="0"/>
                <w:szCs w:val="21"/>
              </w:rPr>
            </w:pPr>
            <w:r>
              <w:rPr>
                <w:rFonts w:ascii="宋体" w:hAnsi="宋体" w:cs="宋体" w:hint="eastAsia"/>
                <w:kern w:val="0"/>
                <w:szCs w:val="21"/>
              </w:rPr>
              <w:t>严格执行《深圳市幼儿园膳食管理办法（试行）》要求。</w:t>
            </w:r>
            <w:r>
              <w:rPr>
                <w:rFonts w:ascii="宋体" w:hAnsi="宋体" w:cs="宋体" w:hint="eastAsia"/>
                <w:b/>
                <w:kern w:val="0"/>
                <w:szCs w:val="21"/>
              </w:rPr>
              <w:t>（3分）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6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39</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b/>
                <w:kern w:val="0"/>
                <w:szCs w:val="21"/>
              </w:rPr>
              <w:t>无重大安全责任事故。△</w:t>
            </w:r>
            <w:r>
              <w:rPr>
                <w:rFonts w:ascii="宋体" w:hAnsi="宋体" w:cs="宋体" w:hint="eastAsia"/>
                <w:kern w:val="0"/>
                <w:szCs w:val="21"/>
              </w:rPr>
              <w:t>（1分）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291"/>
        </w:trPr>
        <w:tc>
          <w:tcPr>
            <w:tcW w:w="1569" w:type="dxa"/>
            <w:vMerge w:val="restart"/>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保育教育管理（19分）</w:t>
            </w: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40</w:t>
            </w:r>
          </w:p>
        </w:tc>
        <w:tc>
          <w:tcPr>
            <w:tcW w:w="9973" w:type="dxa"/>
            <w:vAlign w:val="center"/>
          </w:tcPr>
          <w:p w:rsidR="00BE0654" w:rsidRDefault="00BE0654" w:rsidP="00AD6812">
            <w:pPr>
              <w:widowControl/>
              <w:adjustRightInd w:val="0"/>
              <w:snapToGrid w:val="0"/>
              <w:rPr>
                <w:rFonts w:ascii="宋体" w:hAnsi="宋体" w:cs="宋体" w:hint="eastAsia"/>
                <w:b/>
                <w:kern w:val="0"/>
                <w:szCs w:val="21"/>
              </w:rPr>
            </w:pPr>
            <w:r>
              <w:rPr>
                <w:rFonts w:ascii="宋体" w:hAnsi="宋体" w:cs="宋体" w:hint="eastAsia"/>
                <w:kern w:val="0"/>
                <w:szCs w:val="21"/>
              </w:rPr>
              <w:t>幼儿园室内、户外活动面积根据实际办学情况，符合相关督导评估标准或其他相关规定。（1分）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139"/>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41</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各类辅助用房符合相关督导评估标准或其他相关规定。（1分）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3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42</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幼儿园玩教具、图书及大型活动设备配备符合相关督导评估标准或其他相关规定。（2分）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1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43</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其他生活设备、办公设备和医疗保健器械及药品配备符合相关督导评估标准或其他相关规定。（1分）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44</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幼儿园室内环境创设丰富合理，能满足幼儿发展的需要。（2分）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45</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教室按《深圳市规范化幼儿园标准》设置多种活动区角，区域规划布局合理，方便集体、小组和个别活动的开展。（2分）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46</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按《幼儿园工作规程》要求，科学合理安排幼儿一日生活作息时间，做到动静交替。（2分）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47</w:t>
            </w:r>
          </w:p>
        </w:tc>
        <w:tc>
          <w:tcPr>
            <w:tcW w:w="9973" w:type="dxa"/>
            <w:vAlign w:val="center"/>
          </w:tcPr>
          <w:p w:rsidR="00BE0654" w:rsidRDefault="00BE0654" w:rsidP="00AD6812">
            <w:pPr>
              <w:adjustRightInd w:val="0"/>
              <w:snapToGrid w:val="0"/>
              <w:rPr>
                <w:rFonts w:ascii="宋体" w:hAnsi="宋体" w:cs="宋体" w:hint="eastAsia"/>
                <w:b/>
                <w:kern w:val="0"/>
                <w:szCs w:val="21"/>
              </w:rPr>
            </w:pPr>
            <w:r>
              <w:rPr>
                <w:rFonts w:ascii="宋体" w:hAnsi="宋体" w:cs="宋体" w:hint="eastAsia"/>
                <w:b/>
                <w:kern w:val="0"/>
                <w:szCs w:val="21"/>
              </w:rPr>
              <w:t>教育教学内容和形式符合《幼儿园工作规程》和《3-6岁儿童学习与发展指南》相关要求，符合儿童身心发展特点，以游戏为基本活动，无提前教授小学教育内容和“小学化”行为倾向。△（3分）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15"/>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48</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b/>
                <w:kern w:val="0"/>
                <w:szCs w:val="21"/>
              </w:rPr>
              <w:t>严格执行《托儿所幼儿园卫生保健工作规范》相关要求，新冠肺炎疫情防控工作到位，未发生群体性疾病传染事件。△</w:t>
            </w:r>
            <w:r>
              <w:rPr>
                <w:rFonts w:ascii="宋体" w:hAnsi="宋体" w:cs="宋体" w:hint="eastAsia"/>
                <w:kern w:val="0"/>
                <w:szCs w:val="21"/>
              </w:rPr>
              <w:t>（3分）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widowControl/>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b/>
                <w:kern w:val="0"/>
                <w:szCs w:val="21"/>
              </w:rPr>
            </w:pPr>
            <w:r>
              <w:rPr>
                <w:rFonts w:ascii="宋体" w:hAnsi="宋体" w:cs="宋体" w:hint="eastAsia"/>
                <w:b/>
                <w:kern w:val="0"/>
                <w:szCs w:val="21"/>
              </w:rPr>
              <w:t>49</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2019年儿童体检率和健康档案建档100%，教职工体检率100%（含新入职人员）。（2分）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04"/>
        </w:trPr>
        <w:tc>
          <w:tcPr>
            <w:tcW w:w="1569" w:type="dxa"/>
            <w:vMerge w:val="restart"/>
            <w:vAlign w:val="center"/>
          </w:tcPr>
          <w:p w:rsidR="00BE0654" w:rsidRDefault="00BE0654" w:rsidP="00AD6812">
            <w:pPr>
              <w:adjustRightInd w:val="0"/>
              <w:snapToGrid w:val="0"/>
              <w:jc w:val="right"/>
              <w:rPr>
                <w:rFonts w:ascii="宋体" w:hAnsi="宋体" w:cs="宋体" w:hint="eastAsia"/>
                <w:kern w:val="0"/>
                <w:szCs w:val="21"/>
              </w:rPr>
            </w:pPr>
          </w:p>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财务管理</w:t>
            </w:r>
          </w:p>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（21分）</w:t>
            </w:r>
          </w:p>
          <w:p w:rsidR="00BE0654" w:rsidRDefault="00BE0654" w:rsidP="00AD6812">
            <w:pPr>
              <w:adjustRightInd w:val="0"/>
              <w:snapToGrid w:val="0"/>
              <w:jc w:val="right"/>
              <w:rPr>
                <w:rFonts w:ascii="宋体" w:hAnsi="宋体" w:cs="宋体" w:hint="eastAsia"/>
                <w:kern w:val="0"/>
                <w:szCs w:val="21"/>
              </w:rPr>
            </w:pPr>
          </w:p>
          <w:p w:rsidR="00BE0654" w:rsidRDefault="00BE0654" w:rsidP="00AD6812">
            <w:pPr>
              <w:adjustRightInd w:val="0"/>
              <w:snapToGrid w:val="0"/>
              <w:jc w:val="right"/>
              <w:rPr>
                <w:rFonts w:ascii="宋体" w:hAnsi="宋体" w:cs="宋体" w:hint="eastAsia"/>
                <w:kern w:val="0"/>
                <w:szCs w:val="21"/>
              </w:rPr>
            </w:pPr>
          </w:p>
          <w:p w:rsidR="00BE0654" w:rsidRDefault="00BE0654" w:rsidP="00AD6812">
            <w:pPr>
              <w:adjustRightInd w:val="0"/>
              <w:snapToGrid w:val="0"/>
              <w:jc w:val="right"/>
              <w:rPr>
                <w:rFonts w:ascii="宋体" w:hAnsi="宋体" w:cs="宋体" w:hint="eastAsia"/>
                <w:kern w:val="0"/>
                <w:szCs w:val="21"/>
              </w:rPr>
            </w:pPr>
          </w:p>
          <w:p w:rsidR="00BE0654" w:rsidRDefault="00BE0654" w:rsidP="00AD6812">
            <w:pPr>
              <w:adjustRightInd w:val="0"/>
              <w:snapToGrid w:val="0"/>
              <w:jc w:val="right"/>
              <w:rPr>
                <w:rFonts w:ascii="宋体" w:hAnsi="宋体" w:cs="宋体" w:hint="eastAsia"/>
                <w:kern w:val="0"/>
                <w:szCs w:val="21"/>
              </w:rPr>
            </w:pPr>
          </w:p>
          <w:p w:rsidR="00BE0654" w:rsidRDefault="00BE0654" w:rsidP="00AD6812">
            <w:pPr>
              <w:adjustRightInd w:val="0"/>
              <w:snapToGrid w:val="0"/>
              <w:jc w:val="right"/>
              <w:rPr>
                <w:rFonts w:ascii="宋体" w:hAnsi="宋体" w:cs="宋体" w:hint="eastAsia"/>
                <w:kern w:val="0"/>
                <w:szCs w:val="21"/>
              </w:rPr>
            </w:pPr>
          </w:p>
          <w:p w:rsidR="00BE0654" w:rsidRDefault="00BE0654" w:rsidP="00AD6812">
            <w:pPr>
              <w:adjustRightInd w:val="0"/>
              <w:snapToGrid w:val="0"/>
              <w:ind w:right="210"/>
              <w:jc w:val="right"/>
              <w:rPr>
                <w:rFonts w:ascii="宋体" w:hAnsi="宋体" w:cs="宋体" w:hint="eastAsia"/>
                <w:kern w:val="0"/>
                <w:szCs w:val="21"/>
              </w:rPr>
            </w:pPr>
            <w:r>
              <w:rPr>
                <w:rFonts w:ascii="宋体" w:hAnsi="宋体" w:cs="宋体" w:hint="eastAsia"/>
                <w:kern w:val="0"/>
                <w:szCs w:val="21"/>
              </w:rPr>
              <w:t>财务管理</w:t>
            </w:r>
          </w:p>
          <w:p w:rsidR="00BE0654" w:rsidRDefault="00BE0654" w:rsidP="00AD6812">
            <w:pPr>
              <w:adjustRightInd w:val="0"/>
              <w:snapToGrid w:val="0"/>
              <w:rPr>
                <w:rFonts w:ascii="宋体" w:hAnsi="宋体" w:cs="宋体" w:hint="eastAsia"/>
                <w:kern w:val="0"/>
                <w:szCs w:val="21"/>
              </w:rPr>
            </w:pPr>
          </w:p>
          <w:p w:rsidR="00BE0654" w:rsidRDefault="00BE0654" w:rsidP="00AD6812">
            <w:pPr>
              <w:adjustRightInd w:val="0"/>
              <w:snapToGrid w:val="0"/>
              <w:jc w:val="right"/>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50</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有健全的财务管理制度、现金、固定资产管理制度、会计档案管理制度；有专职财务人员或委托有资质的中介机构代理记账。（2分）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restart"/>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95"/>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widowControl/>
              <w:adjustRightInd w:val="0"/>
              <w:snapToGrid w:val="0"/>
              <w:jc w:val="center"/>
              <w:rPr>
                <w:rFonts w:ascii="宋体" w:hAnsi="宋体" w:cs="宋体" w:hint="eastAsia"/>
                <w:kern w:val="0"/>
                <w:szCs w:val="21"/>
              </w:rPr>
            </w:pPr>
            <w:r>
              <w:rPr>
                <w:rFonts w:ascii="宋体" w:hAnsi="宋体" w:cs="宋体" w:hint="eastAsia"/>
                <w:kern w:val="0"/>
                <w:szCs w:val="21"/>
              </w:rPr>
              <w:t>51</w:t>
            </w:r>
          </w:p>
        </w:tc>
        <w:tc>
          <w:tcPr>
            <w:tcW w:w="9973" w:type="dxa"/>
            <w:vAlign w:val="center"/>
          </w:tcPr>
          <w:p w:rsidR="00BE0654" w:rsidRDefault="00BE0654" w:rsidP="00AD6812">
            <w:pPr>
              <w:widowControl/>
              <w:adjustRightInd w:val="0"/>
              <w:snapToGrid w:val="0"/>
              <w:rPr>
                <w:rFonts w:ascii="宋体" w:hAnsi="宋体" w:cs="宋体" w:hint="eastAsia"/>
                <w:kern w:val="0"/>
                <w:szCs w:val="21"/>
              </w:rPr>
            </w:pPr>
            <w:r>
              <w:rPr>
                <w:rFonts w:ascii="宋体" w:hAnsi="宋体" w:cs="宋体" w:hint="eastAsia"/>
                <w:kern w:val="0"/>
                <w:szCs w:val="21"/>
              </w:rPr>
              <w:t>独立设置银行账户和会计账簿，执行《深圳市民办幼儿园财务管理办法》规定的会计核算办法，会计资料真实、完整。（2分）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45"/>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52</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遵照国家的《教育收费公示制度》向社会公布收费项目和收费标准。（1分）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64"/>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53</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严格执行国家和广东省有关幼儿园收费管理的政策规定，按经备案的收费项目和收费标准进行收费，不得巧立名目、擅自扩大收费范围和提高收费标准。（2分）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403"/>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54</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按学期或按月收取保教费，不得提前向幼儿家长预收学位费；收、退费符合有关管理规定。（2分</w:t>
            </w:r>
            <w:r>
              <w:rPr>
                <w:rFonts w:ascii="宋体" w:hAnsi="宋体" w:cs="宋体" w:hint="eastAsia"/>
                <w:b/>
                <w:kern w:val="0"/>
                <w:szCs w:val="21"/>
              </w:rPr>
              <w:t>）</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153"/>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55</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收费使用税务部门规定的统一票据，无白条现象。（1分）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27"/>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56</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保教费收入全部存入基本账户。（1分）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3"/>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57</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服务性收费和代收费收取必须坚持幼儿家长自愿原则，并设置核算明细，独立核算，按学期或按月据实结算，幼儿伙食费收支情况单独记账，按月公布。（2分）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15"/>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58</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支出有合法票据，据实列支，无虚列支出情况，审批手续完整，大额支出有合同或协议。（2分）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59</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b/>
                <w:kern w:val="0"/>
                <w:szCs w:val="21"/>
              </w:rPr>
              <w:t>政府资助收入全部存入三方监管账户，严格按要求使用政府核拨的各项补贴、补助、津贴和奖励经费，无挤占、挪用、侵吞等违法违规行为。△</w:t>
            </w:r>
            <w:r>
              <w:rPr>
                <w:rFonts w:ascii="宋体" w:hAnsi="宋体" w:cs="宋体" w:hint="eastAsia"/>
                <w:kern w:val="0"/>
                <w:szCs w:val="21"/>
              </w:rPr>
              <w:t>（3分）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60</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按要求开展财务年度审计，按时提交财务审计报告并进行公告。（1分）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61</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在园儿童健康成长补贴申领秩序良好，未造成家长有效投诉，不存在骗取补贴情况。（1分）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r w:rsidR="00BE0654" w:rsidTr="00BE0654">
        <w:trPr>
          <w:trHeight w:val="300"/>
        </w:trPr>
        <w:tc>
          <w:tcPr>
            <w:tcW w:w="1569" w:type="dxa"/>
            <w:vMerge/>
            <w:vAlign w:val="center"/>
          </w:tcPr>
          <w:p w:rsidR="00BE0654" w:rsidRDefault="00BE0654" w:rsidP="00AD6812">
            <w:pPr>
              <w:adjustRightInd w:val="0"/>
              <w:snapToGrid w:val="0"/>
              <w:rPr>
                <w:rFonts w:ascii="宋体" w:hAnsi="宋体" w:cs="宋体" w:hint="eastAsia"/>
                <w:kern w:val="0"/>
                <w:szCs w:val="21"/>
              </w:rPr>
            </w:pPr>
          </w:p>
        </w:tc>
        <w:tc>
          <w:tcPr>
            <w:tcW w:w="428" w:type="dxa"/>
            <w:vAlign w:val="center"/>
          </w:tcPr>
          <w:p w:rsidR="00BE0654" w:rsidRDefault="00BE0654" w:rsidP="00AD6812">
            <w:pPr>
              <w:adjustRightInd w:val="0"/>
              <w:snapToGrid w:val="0"/>
              <w:jc w:val="center"/>
              <w:rPr>
                <w:rFonts w:ascii="宋体" w:hAnsi="宋体" w:cs="宋体" w:hint="eastAsia"/>
                <w:kern w:val="0"/>
                <w:szCs w:val="21"/>
              </w:rPr>
            </w:pPr>
            <w:r>
              <w:rPr>
                <w:rFonts w:ascii="宋体" w:hAnsi="宋体" w:cs="宋体" w:hint="eastAsia"/>
                <w:kern w:val="0"/>
                <w:szCs w:val="21"/>
              </w:rPr>
              <w:t>62</w:t>
            </w:r>
          </w:p>
        </w:tc>
        <w:tc>
          <w:tcPr>
            <w:tcW w:w="9973" w:type="dxa"/>
            <w:vAlign w:val="center"/>
          </w:tcPr>
          <w:p w:rsidR="00BE0654" w:rsidRDefault="00BE0654" w:rsidP="00AD6812">
            <w:pPr>
              <w:adjustRightInd w:val="0"/>
              <w:snapToGrid w:val="0"/>
              <w:rPr>
                <w:rFonts w:ascii="宋体" w:hAnsi="宋体" w:cs="宋体" w:hint="eastAsia"/>
                <w:kern w:val="0"/>
                <w:szCs w:val="21"/>
              </w:rPr>
            </w:pPr>
            <w:r>
              <w:rPr>
                <w:rFonts w:ascii="宋体" w:hAnsi="宋体" w:cs="宋体" w:hint="eastAsia"/>
                <w:kern w:val="0"/>
                <w:szCs w:val="21"/>
              </w:rPr>
              <w:t>保教人员长期从教津贴申领工作未出现有效投诉，无弄虚作假或骗取从教津贴事件。（1分）</w:t>
            </w:r>
          </w:p>
        </w:tc>
        <w:tc>
          <w:tcPr>
            <w:tcW w:w="525"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630" w:type="dxa"/>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840"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c>
          <w:tcPr>
            <w:tcW w:w="1365" w:type="dxa"/>
            <w:vMerge/>
            <w:vAlign w:val="center"/>
          </w:tcPr>
          <w:p w:rsidR="00BE0654" w:rsidRDefault="00BE0654" w:rsidP="00AD6812">
            <w:pPr>
              <w:widowControl/>
              <w:tabs>
                <w:tab w:val="left" w:pos="1360"/>
              </w:tabs>
              <w:adjustRightInd w:val="0"/>
              <w:snapToGrid w:val="0"/>
              <w:ind w:firstLineChars="100" w:firstLine="210"/>
              <w:rPr>
                <w:rFonts w:ascii="宋体" w:hAnsi="宋体" w:cs="宋体" w:hint="eastAsia"/>
                <w:kern w:val="0"/>
                <w:szCs w:val="21"/>
              </w:rPr>
            </w:pPr>
          </w:p>
        </w:tc>
      </w:tr>
    </w:tbl>
    <w:p w:rsidR="00BE0654" w:rsidRDefault="00BE0654" w:rsidP="00BE0654">
      <w:pPr>
        <w:ind w:leftChars="-500" w:left="-210" w:hangingChars="400" w:hanging="840"/>
        <w:jc w:val="left"/>
        <w:rPr>
          <w:rFonts w:ascii="宋体" w:hAnsi="宋体" w:hint="eastAsia"/>
          <w:szCs w:val="21"/>
        </w:rPr>
      </w:pPr>
      <w:r>
        <w:rPr>
          <w:rFonts w:ascii="宋体" w:hAnsi="宋体" w:hint="eastAsia"/>
          <w:szCs w:val="21"/>
        </w:rPr>
        <w:t>备注：1.本表标记</w:t>
      </w:r>
      <w:r>
        <w:rPr>
          <w:rFonts w:ascii="宋体" w:hAnsi="宋体"/>
          <w:szCs w:val="21"/>
        </w:rPr>
        <w:t>为</w:t>
      </w:r>
      <w:r>
        <w:rPr>
          <w:rFonts w:ascii="宋体" w:hAnsi="宋体" w:hint="eastAsia"/>
          <w:szCs w:val="21"/>
        </w:rPr>
        <w:t>“</w:t>
      </w:r>
      <w:r>
        <w:rPr>
          <w:rFonts w:ascii="宋体" w:hAnsi="宋体" w:cs="宋体" w:hint="eastAsia"/>
          <w:kern w:val="0"/>
          <w:szCs w:val="21"/>
        </w:rPr>
        <w:t>△”</w:t>
      </w:r>
      <w:r>
        <w:rPr>
          <w:rFonts w:ascii="宋体" w:hAnsi="宋体" w:hint="eastAsia"/>
          <w:szCs w:val="21"/>
        </w:rPr>
        <w:t>者为必达指标，在此基础上，各区可结合实际自行确定其他重点；</w:t>
      </w:r>
    </w:p>
    <w:p w:rsidR="00BE0654" w:rsidRDefault="00BE0654" w:rsidP="00BE0654">
      <w:pPr>
        <w:ind w:leftChars="-200" w:left="-210" w:hangingChars="100" w:hanging="210"/>
        <w:jc w:val="left"/>
        <w:rPr>
          <w:rFonts w:ascii="宋体" w:hAnsi="宋体" w:cs="宋体" w:hint="eastAsia"/>
          <w:kern w:val="0"/>
          <w:szCs w:val="21"/>
        </w:rPr>
      </w:pPr>
      <w:r>
        <w:rPr>
          <w:rFonts w:ascii="宋体" w:hAnsi="宋体" w:hint="eastAsia"/>
          <w:szCs w:val="21"/>
        </w:rPr>
        <w:t>2.</w:t>
      </w:r>
      <w:r>
        <w:rPr>
          <w:rFonts w:ascii="宋体" w:hAnsi="宋体" w:hint="eastAsia"/>
          <w:b/>
          <w:szCs w:val="21"/>
        </w:rPr>
        <w:t>第8项必达指标：</w:t>
      </w:r>
      <w:r>
        <w:rPr>
          <w:rFonts w:ascii="宋体" w:hAnsi="宋体" w:cs="宋体" w:hint="eastAsia"/>
          <w:kern w:val="0"/>
          <w:szCs w:val="21"/>
        </w:rPr>
        <w:t>管理人员“</w:t>
      </w:r>
      <w:r>
        <w:rPr>
          <w:rFonts w:ascii="宋体" w:hAnsi="宋体" w:hint="eastAsia"/>
          <w:szCs w:val="21"/>
        </w:rPr>
        <w:t>全职参与幼儿园管理，</w:t>
      </w:r>
      <w:r>
        <w:rPr>
          <w:rFonts w:ascii="宋体" w:hAnsi="宋体" w:cs="宋体" w:hint="eastAsia"/>
          <w:kern w:val="0"/>
          <w:szCs w:val="21"/>
        </w:rPr>
        <w:t>无擅自离岗或转岗现象”是指除了正常外出时间，管理人员须全职在本幼儿园工作，擅自离岗是指管理人员擅自离开本幼儿园或未全职在本幼儿园工作，</w:t>
      </w:r>
      <w:proofErr w:type="gramStart"/>
      <w:r>
        <w:rPr>
          <w:rFonts w:ascii="宋体" w:hAnsi="宋体" w:cs="宋体" w:hint="eastAsia"/>
          <w:kern w:val="0"/>
          <w:szCs w:val="21"/>
        </w:rPr>
        <w:t>转岗指</w:t>
      </w:r>
      <w:proofErr w:type="gramEnd"/>
      <w:r>
        <w:rPr>
          <w:rFonts w:ascii="宋体" w:hAnsi="宋体" w:cs="宋体" w:hint="eastAsia"/>
          <w:kern w:val="0"/>
          <w:szCs w:val="21"/>
        </w:rPr>
        <w:t>实际任职的园长未经主管教育行政部门审核同意；</w:t>
      </w:r>
    </w:p>
    <w:p w:rsidR="00BE0654" w:rsidRDefault="00BE0654" w:rsidP="00BE0654">
      <w:pPr>
        <w:ind w:leftChars="-200" w:left="-210" w:hangingChars="100" w:hanging="210"/>
        <w:jc w:val="left"/>
        <w:rPr>
          <w:rFonts w:ascii="宋体" w:hAnsi="宋体" w:hint="eastAsia"/>
          <w:szCs w:val="21"/>
        </w:rPr>
      </w:pPr>
      <w:r>
        <w:rPr>
          <w:rFonts w:ascii="宋体" w:hAnsi="宋体" w:hint="eastAsia"/>
          <w:szCs w:val="21"/>
        </w:rPr>
        <w:t>3.</w:t>
      </w:r>
      <w:r>
        <w:rPr>
          <w:rFonts w:ascii="宋体" w:hAnsi="宋体" w:hint="eastAsia"/>
          <w:b/>
          <w:szCs w:val="21"/>
        </w:rPr>
        <w:t>第38项必达指标</w:t>
      </w:r>
      <w:r>
        <w:rPr>
          <w:rFonts w:ascii="宋体" w:hAnsi="宋体" w:hint="eastAsia"/>
          <w:szCs w:val="21"/>
        </w:rPr>
        <w:t>：</w:t>
      </w:r>
      <w:r>
        <w:rPr>
          <w:rFonts w:ascii="宋体" w:hAnsi="宋体" w:cs="宋体" w:hint="eastAsia"/>
          <w:kern w:val="0"/>
          <w:szCs w:val="21"/>
        </w:rPr>
        <w:t>食堂物资采购和索证、登记制度与饭菜留样和记录制度、员工体检制度，</w:t>
      </w:r>
      <w:r>
        <w:rPr>
          <w:rFonts w:ascii="宋体" w:hAnsi="宋体" w:hint="eastAsia"/>
          <w:szCs w:val="21"/>
        </w:rPr>
        <w:t>当日进货单</w:t>
      </w:r>
      <w:proofErr w:type="gramStart"/>
      <w:r>
        <w:rPr>
          <w:rFonts w:ascii="宋体" w:hAnsi="宋体" w:hint="eastAsia"/>
          <w:szCs w:val="21"/>
        </w:rPr>
        <w:t>食材品种</w:t>
      </w:r>
      <w:proofErr w:type="gramEnd"/>
      <w:r>
        <w:rPr>
          <w:rFonts w:ascii="宋体" w:hAnsi="宋体" w:hint="eastAsia"/>
          <w:szCs w:val="21"/>
        </w:rPr>
        <w:t>和数量</w:t>
      </w:r>
      <w:proofErr w:type="gramStart"/>
      <w:r>
        <w:rPr>
          <w:rFonts w:ascii="宋体" w:hAnsi="宋体" w:hint="eastAsia"/>
          <w:szCs w:val="21"/>
        </w:rPr>
        <w:t>与代量食谱</w:t>
      </w:r>
      <w:proofErr w:type="gramEnd"/>
      <w:r>
        <w:rPr>
          <w:rFonts w:ascii="宋体" w:hAnsi="宋体" w:hint="eastAsia"/>
          <w:szCs w:val="21"/>
        </w:rPr>
        <w:t>一致，幼儿园伙食</w:t>
      </w:r>
      <w:proofErr w:type="gramStart"/>
      <w:r>
        <w:rPr>
          <w:rFonts w:ascii="宋体" w:hAnsi="宋体" w:hint="eastAsia"/>
          <w:szCs w:val="21"/>
        </w:rPr>
        <w:t>账</w:t>
      </w:r>
      <w:proofErr w:type="gramEnd"/>
      <w:r>
        <w:rPr>
          <w:rFonts w:ascii="宋体" w:hAnsi="宋体" w:hint="eastAsia"/>
          <w:szCs w:val="21"/>
        </w:rPr>
        <w:t>独立核算，教职工膳食与幼儿膳食是否严格分离等；</w:t>
      </w:r>
    </w:p>
    <w:p w:rsidR="00BE0654" w:rsidRDefault="00BE0654" w:rsidP="00BE0654">
      <w:pPr>
        <w:ind w:leftChars="-200" w:left="-210" w:hangingChars="100" w:hanging="210"/>
        <w:jc w:val="left"/>
        <w:rPr>
          <w:rFonts w:ascii="宋体" w:hAnsi="宋体" w:hint="eastAsia"/>
          <w:szCs w:val="21"/>
        </w:rPr>
      </w:pPr>
      <w:r>
        <w:rPr>
          <w:rFonts w:ascii="宋体" w:hAnsi="宋体" w:hint="eastAsia"/>
          <w:szCs w:val="21"/>
        </w:rPr>
        <w:t>4.</w:t>
      </w:r>
      <w:r>
        <w:rPr>
          <w:rFonts w:ascii="宋体" w:hAnsi="宋体" w:hint="eastAsia"/>
          <w:b/>
          <w:szCs w:val="21"/>
        </w:rPr>
        <w:t>第48项必达指标</w:t>
      </w:r>
      <w:r>
        <w:rPr>
          <w:rFonts w:ascii="宋体" w:hAnsi="宋体" w:hint="eastAsia"/>
          <w:szCs w:val="21"/>
        </w:rPr>
        <w:t>：教职工和幼儿的生活卫生习惯、班级卫生情况（如洗手、班级消毒、进餐等）；幼儿园疫情防控情况，如物资储备、疫情防控布置、应急预案等；</w:t>
      </w:r>
    </w:p>
    <w:p w:rsidR="00BE0654" w:rsidRDefault="00BE0654" w:rsidP="00BE0654">
      <w:pPr>
        <w:ind w:leftChars="-200" w:left="-210" w:hangingChars="100" w:hanging="210"/>
        <w:jc w:val="left"/>
        <w:rPr>
          <w:rFonts w:ascii="宋体" w:hAnsi="宋体" w:hint="eastAsia"/>
          <w:szCs w:val="21"/>
        </w:rPr>
      </w:pPr>
      <w:r>
        <w:rPr>
          <w:rFonts w:ascii="宋体" w:hAnsi="宋体" w:hint="eastAsia"/>
          <w:szCs w:val="21"/>
        </w:rPr>
        <w:t>5.每个指标按好、中、差三</w:t>
      </w:r>
      <w:proofErr w:type="gramStart"/>
      <w:r>
        <w:rPr>
          <w:rFonts w:ascii="宋体" w:hAnsi="宋体" w:hint="eastAsia"/>
          <w:szCs w:val="21"/>
        </w:rPr>
        <w:t>档计算</w:t>
      </w:r>
      <w:proofErr w:type="gramEnd"/>
      <w:r>
        <w:rPr>
          <w:rFonts w:ascii="宋体" w:hAnsi="宋体" w:hint="eastAsia"/>
          <w:szCs w:val="21"/>
        </w:rPr>
        <w:t xml:space="preserve">得分，如2分项，好：1.6-2分；中：1-1.5分；差：0-1分。上一年度检查不合格、今年仍未改进的项目应加倍扣分； </w:t>
      </w:r>
    </w:p>
    <w:p w:rsidR="00BE0654" w:rsidRDefault="00BE0654" w:rsidP="00BE0654">
      <w:pPr>
        <w:ind w:leftChars="-200" w:left="-210" w:hangingChars="100" w:hanging="210"/>
        <w:jc w:val="left"/>
        <w:rPr>
          <w:rFonts w:ascii="宋体" w:hAnsi="宋体" w:hint="eastAsia"/>
          <w:szCs w:val="21"/>
        </w:rPr>
      </w:pPr>
      <w:r>
        <w:rPr>
          <w:rFonts w:ascii="宋体" w:hAnsi="宋体" w:hint="eastAsia"/>
          <w:szCs w:val="21"/>
        </w:rPr>
        <w:t>6. 得分在80分以上、所有必达指标都合格的幼儿园，年检结论为“合格”， 80分以下至60分以上年检结论为“基本合格”，60分以下或两个（含两个）以上必达指标不合格的年检结论为“不合格”。</w:t>
      </w:r>
    </w:p>
    <w:p w:rsidR="00BE0654" w:rsidRDefault="00BE0654" w:rsidP="00BE0654">
      <w:pPr>
        <w:ind w:leftChars="-700" w:left="-1470" w:firstLineChars="500" w:firstLine="1050"/>
        <w:jc w:val="left"/>
        <w:rPr>
          <w:rFonts w:ascii="宋体" w:hAnsi="宋体" w:hint="eastAsia"/>
          <w:szCs w:val="21"/>
        </w:rPr>
      </w:pPr>
      <w:r>
        <w:rPr>
          <w:rFonts w:ascii="宋体" w:hAnsi="宋体" w:hint="eastAsia"/>
          <w:szCs w:val="21"/>
        </w:rPr>
        <w:t xml:space="preserve"> </w:t>
      </w:r>
    </w:p>
    <w:p w:rsidR="00BE0654" w:rsidRDefault="00BE0654" w:rsidP="00BE0654">
      <w:pPr>
        <w:spacing w:line="520" w:lineRule="exact"/>
        <w:ind w:leftChars="-700" w:left="-1470" w:firstLineChars="450" w:firstLine="1260"/>
        <w:jc w:val="left"/>
        <w:rPr>
          <w:rFonts w:ascii="宋体" w:hAnsi="宋体"/>
          <w:sz w:val="28"/>
          <w:szCs w:val="28"/>
        </w:rPr>
      </w:pPr>
      <w:r>
        <w:rPr>
          <w:rFonts w:ascii="宋体" w:hAnsi="宋体" w:hint="eastAsia"/>
          <w:sz w:val="28"/>
          <w:szCs w:val="28"/>
        </w:rPr>
        <w:t>结果： 自查</w:t>
      </w:r>
      <w:r>
        <w:rPr>
          <w:rFonts w:ascii="宋体" w:hAnsi="宋体" w:hint="eastAsia"/>
          <w:sz w:val="28"/>
          <w:szCs w:val="28"/>
          <w:u w:val="single"/>
        </w:rPr>
        <w:t xml:space="preserve">                  </w:t>
      </w:r>
      <w:r>
        <w:rPr>
          <w:rFonts w:ascii="宋体" w:hAnsi="宋体" w:hint="eastAsia"/>
          <w:sz w:val="28"/>
          <w:szCs w:val="28"/>
        </w:rPr>
        <w:t>分；</w:t>
      </w:r>
      <w:r>
        <w:rPr>
          <w:rFonts w:ascii="宋体" w:hAnsi="宋体" w:hint="eastAsia"/>
          <w:sz w:val="28"/>
          <w:szCs w:val="28"/>
        </w:rPr>
        <w:t xml:space="preserve">       </w:t>
      </w:r>
      <w:r>
        <w:rPr>
          <w:rFonts w:ascii="宋体" w:hAnsi="宋体" w:hint="eastAsia"/>
          <w:sz w:val="28"/>
          <w:szCs w:val="28"/>
        </w:rPr>
        <w:t>检查</w:t>
      </w:r>
      <w:r>
        <w:rPr>
          <w:rFonts w:ascii="宋体" w:hAnsi="宋体" w:hint="eastAsia"/>
          <w:sz w:val="28"/>
          <w:szCs w:val="28"/>
          <w:u w:val="single"/>
        </w:rPr>
        <w:t xml:space="preserve">                  </w:t>
      </w:r>
      <w:r>
        <w:rPr>
          <w:rFonts w:ascii="宋体" w:hAnsi="宋体" w:hint="eastAsia"/>
          <w:sz w:val="28"/>
          <w:szCs w:val="28"/>
        </w:rPr>
        <w:t xml:space="preserve">分；  </w:t>
      </w:r>
      <w:r>
        <w:rPr>
          <w:rFonts w:ascii="宋体" w:hAnsi="宋体" w:hint="eastAsia"/>
          <w:sz w:val="28"/>
          <w:szCs w:val="28"/>
        </w:rPr>
        <w:t xml:space="preserve">    </w:t>
      </w:r>
      <w:r>
        <w:rPr>
          <w:rFonts w:ascii="宋体" w:hAnsi="宋体" w:hint="eastAsia"/>
          <w:sz w:val="28"/>
          <w:szCs w:val="28"/>
        </w:rPr>
        <w:t xml:space="preserve"> 年检结论</w:t>
      </w:r>
      <w:r>
        <w:rPr>
          <w:rFonts w:ascii="宋体" w:hAnsi="宋体" w:hint="eastAsia"/>
          <w:sz w:val="28"/>
          <w:szCs w:val="28"/>
          <w:u w:val="single"/>
        </w:rPr>
        <w:t xml:space="preserve">              </w:t>
      </w:r>
      <w:r>
        <w:rPr>
          <w:rFonts w:ascii="宋体" w:hAnsi="宋体" w:hint="eastAsia"/>
          <w:sz w:val="28"/>
          <w:szCs w:val="28"/>
        </w:rPr>
        <w:t>。</w:t>
      </w:r>
    </w:p>
    <w:p w:rsidR="00976CAB" w:rsidRDefault="00976CAB"/>
    <w:sectPr w:rsidR="00976CAB" w:rsidSect="00BE0654">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D7" w:rsidRDefault="004B0BD7" w:rsidP="00BE0654">
      <w:r>
        <w:separator/>
      </w:r>
    </w:p>
  </w:endnote>
  <w:endnote w:type="continuationSeparator" w:id="0">
    <w:p w:rsidR="004B0BD7" w:rsidRDefault="004B0BD7" w:rsidP="00BE0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D7" w:rsidRDefault="004B0BD7" w:rsidP="00BE0654">
      <w:r>
        <w:separator/>
      </w:r>
    </w:p>
  </w:footnote>
  <w:footnote w:type="continuationSeparator" w:id="0">
    <w:p w:rsidR="004B0BD7" w:rsidRDefault="004B0BD7" w:rsidP="00BE06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654"/>
    <w:rsid w:val="004B0BD7"/>
    <w:rsid w:val="00976CAB"/>
    <w:rsid w:val="00BE0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06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0654"/>
    <w:rPr>
      <w:sz w:val="18"/>
      <w:szCs w:val="18"/>
    </w:rPr>
  </w:style>
  <w:style w:type="paragraph" w:styleId="a4">
    <w:name w:val="footer"/>
    <w:basedOn w:val="a"/>
    <w:link w:val="Char0"/>
    <w:uiPriority w:val="99"/>
    <w:semiHidden/>
    <w:unhideWhenUsed/>
    <w:rsid w:val="00BE06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06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3673</Characters>
  <Application>Microsoft Office Word</Application>
  <DocSecurity>0</DocSecurity>
  <Lines>30</Lines>
  <Paragraphs>8</Paragraphs>
  <ScaleCrop>false</ScaleCrop>
  <Company>Microsoft</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马芹娣</dc:creator>
  <cp:keywords/>
  <dc:description/>
  <cp:lastModifiedBy>马芹娣</cp:lastModifiedBy>
  <cp:revision>2</cp:revision>
  <dcterms:created xsi:type="dcterms:W3CDTF">2020-08-05T04:00:00Z</dcterms:created>
  <dcterms:modified xsi:type="dcterms:W3CDTF">2020-08-05T04:01:00Z</dcterms:modified>
</cp:coreProperties>
</file>