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63"/>
        </w:tabs>
        <w:spacing w:line="560" w:lineRule="exact"/>
        <w:jc w:val="left"/>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 w:eastAsia="zh-CN"/>
        </w:rPr>
        <w:t>附件</w:t>
      </w:r>
      <w:r>
        <w:rPr>
          <w:rFonts w:hint="eastAsia" w:ascii="方正小标宋简体" w:hAnsi="方正小标宋简体" w:eastAsia="方正小标宋简体" w:cs="方正小标宋简体"/>
          <w:color w:val="auto"/>
          <w:sz w:val="32"/>
          <w:szCs w:val="32"/>
          <w:lang w:val="en-US" w:eastAsia="zh-CN"/>
        </w:rPr>
        <w:t>1</w:t>
      </w:r>
    </w:p>
    <w:p>
      <w:pPr>
        <w:numPr>
          <w:ilvl w:val="0"/>
          <w:numId w:val="0"/>
        </w:numPr>
        <w:spacing w:line="560" w:lineRule="exact"/>
        <w:ind w:left="420" w:leftChars="0"/>
        <w:jc w:val="center"/>
        <w:rPr>
          <w:rFonts w:hint="eastAsia" w:ascii="方正小标宋简体" w:hAnsi="方正小标宋简体" w:eastAsia="方正小标宋简体" w:cs="方正小标宋简体"/>
          <w:color w:val="auto"/>
          <w:sz w:val="32"/>
          <w:szCs w:val="32"/>
          <w:lang w:val="en-US" w:eastAsia="zh-CN"/>
        </w:rPr>
      </w:pPr>
      <w:bookmarkStart w:id="2" w:name="_GoBack"/>
      <w:r>
        <w:rPr>
          <w:rFonts w:hint="eastAsia" w:ascii="方正小标宋简体" w:hAnsi="方正小标宋简体" w:eastAsia="方正小标宋简体" w:cs="方正小标宋简体"/>
          <w:color w:val="auto"/>
          <w:sz w:val="32"/>
          <w:szCs w:val="32"/>
          <w:lang w:val="en" w:eastAsia="zh-CN"/>
        </w:rPr>
        <w:t>深圳市招生考试办公室信息化监理服务项目</w:t>
      </w:r>
      <w:r>
        <w:rPr>
          <w:rFonts w:hint="eastAsia" w:ascii="方正小标宋简体" w:hAnsi="方正小标宋简体" w:eastAsia="方正小标宋简体" w:cs="方正小标宋简体"/>
          <w:color w:val="auto"/>
          <w:sz w:val="32"/>
          <w:szCs w:val="32"/>
          <w:lang w:val="en-US" w:eastAsia="zh-CN"/>
        </w:rPr>
        <w:t>需求</w:t>
      </w:r>
      <w:bookmarkEnd w:id="2"/>
      <w:r>
        <w:rPr>
          <w:rFonts w:hint="eastAsia" w:ascii="方正小标宋简体" w:hAnsi="方正小标宋简体" w:eastAsia="方正小标宋简体" w:cs="方正小标宋简体"/>
          <w:color w:val="auto"/>
          <w:sz w:val="32"/>
          <w:szCs w:val="32"/>
          <w:lang w:val="en-US" w:eastAsia="zh-CN"/>
        </w:rPr>
        <w:t>说明书</w:t>
      </w:r>
    </w:p>
    <w:p>
      <w:pPr>
        <w:numPr>
          <w:ilvl w:val="0"/>
          <w:numId w:val="0"/>
        </w:numPr>
        <w:spacing w:line="560" w:lineRule="exact"/>
        <w:ind w:left="420" w:leftChars="0"/>
        <w:rPr>
          <w:rFonts w:hint="eastAsia" w:ascii="宋体" w:hAnsi="宋体" w:eastAsia="宋体" w:cs="宋体"/>
          <w:b/>
          <w:bCs/>
          <w:color w:val="auto"/>
          <w:sz w:val="24"/>
          <w:lang w:val="en-US" w:eastAsia="zh-CN"/>
        </w:rPr>
      </w:pPr>
    </w:p>
    <w:p>
      <w:pPr>
        <w:numPr>
          <w:ilvl w:val="0"/>
          <w:numId w:val="0"/>
        </w:numPr>
        <w:spacing w:line="560" w:lineRule="exact"/>
        <w:ind w:left="420" w:left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项目概况</w:t>
      </w:r>
    </w:p>
    <w:p>
      <w:pPr>
        <w:ind w:firstLine="480" w:firstLineChars="200"/>
        <w:rPr>
          <w:rFonts w:hint="eastAsia" w:ascii="宋体" w:hAnsi="宋体" w:cs="宋体"/>
          <w:color w:val="auto"/>
          <w:sz w:val="24"/>
          <w:szCs w:val="24"/>
        </w:rPr>
      </w:pPr>
      <w:r>
        <w:rPr>
          <w:rFonts w:hint="eastAsia" w:ascii="宋体" w:hAnsi="宋体" w:cs="宋体"/>
          <w:color w:val="auto"/>
          <w:sz w:val="24"/>
          <w:szCs w:val="24"/>
        </w:rPr>
        <w:t>深圳市招生考试办公室信息化监理服务项目是为深圳</w:t>
      </w:r>
      <w:r>
        <w:rPr>
          <w:rFonts w:hint="eastAsia" w:ascii="宋体" w:hAnsi="宋体" w:cs="宋体"/>
          <w:color w:val="auto"/>
          <w:sz w:val="24"/>
          <w:szCs w:val="24"/>
          <w:lang w:val="en-US" w:eastAsia="zh-CN"/>
        </w:rPr>
        <w:t>市招生考试办公室</w:t>
      </w:r>
      <w:r>
        <w:rPr>
          <w:rFonts w:hint="eastAsia" w:ascii="宋体" w:hAnsi="宋体" w:cs="宋体"/>
          <w:color w:val="auto"/>
          <w:sz w:val="24"/>
          <w:szCs w:val="24"/>
        </w:rPr>
        <w:t>提供</w:t>
      </w:r>
      <w:r>
        <w:rPr>
          <w:rFonts w:hint="eastAsia" w:ascii="宋体" w:hAnsi="宋体" w:cs="宋体"/>
          <w:color w:val="auto"/>
          <w:sz w:val="24"/>
          <w:szCs w:val="24"/>
          <w:lang w:val="en-US" w:eastAsia="zh-CN"/>
        </w:rPr>
        <w:t>信息化监理</w:t>
      </w:r>
      <w:r>
        <w:rPr>
          <w:rFonts w:hint="eastAsia" w:ascii="宋体" w:hAnsi="宋体" w:cs="宋体"/>
          <w:color w:val="auto"/>
          <w:sz w:val="24"/>
          <w:szCs w:val="24"/>
        </w:rPr>
        <w:t>服务。</w:t>
      </w:r>
    </w:p>
    <w:p>
      <w:pPr>
        <w:numPr>
          <w:ilvl w:val="0"/>
          <w:numId w:val="0"/>
        </w:numPr>
        <w:spacing w:line="560" w:lineRule="exact"/>
        <w:ind w:left="420"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eastAsia="zh-CN"/>
        </w:rPr>
        <w:t>项目服务内容</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本次招标包含两个项目，各项目单独报价，若中标后，中标人单独签订两个项目监理服务合同。</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92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92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tc>
        <w:tc>
          <w:tcPr>
            <w:tcW w:w="4590"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92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初中理化生实验操作考试项目监理服务</w:t>
            </w:r>
          </w:p>
        </w:tc>
        <w:tc>
          <w:tcPr>
            <w:tcW w:w="4590"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为保证初中阶段理科试验测评改革平稳实施，对信息化实验测评进行监理服务，包含“市考试平台与相关服务”、“市人工评卷平台与相关服务”和“市AI评卷平台与相关服务”三个部分的信息化监理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925"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教育考试考务综合管理平台升级改造项目监理服务</w:t>
            </w:r>
          </w:p>
        </w:tc>
        <w:tc>
          <w:tcPr>
            <w:tcW w:w="4590"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对原有系统（深圳市教育考试考务综合管理平台）进行软件系统及底层数据标准的升级改造进行全过程监理</w:t>
            </w:r>
          </w:p>
        </w:tc>
      </w:tr>
    </w:tbl>
    <w:p>
      <w:pPr>
        <w:numPr>
          <w:ilvl w:val="0"/>
          <w:numId w:val="3"/>
        </w:numPr>
        <w:spacing w:line="560" w:lineRule="exact"/>
        <w:ind w:left="420" w:lef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项目服务要求</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w:t>
      </w:r>
      <w:r>
        <w:rPr>
          <w:rFonts w:hint="eastAsia" w:ascii="宋体" w:hAnsi="宋体" w:cs="宋体"/>
          <w:b/>
          <w:bCs/>
          <w:sz w:val="24"/>
          <w:szCs w:val="24"/>
        </w:rPr>
        <w:t>监理要点</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1.规范管理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根据深圳市政府投资项目相关管理法律法规及相关标准，并根据建设项目的实际情况及采购单位的相关需求，确保项目招投标、变更、验收等合法合规，确保审计材料规范齐备，符合相关主管部门审计及项目验收要求。</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2.质量控制</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1）依据有关的招标文件、投标文件、合同和设计单位制定的技术规范书，审查、监督、控制项目建设的质量；</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2）采取事前预防、事中控制、事后纠正的监理方式，依据国家法律、法规、标准以及项目合同、设计方案等文件控制工程质量；</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3）组织工程质量、系统集成等质量事故的原因调查、问题分析、问题评估、事故处理；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4）项目建设期间采取旁站监理监督建设质量，参与软件需求书的确认工作；</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5）监督系统项目需求管理、配置管理的执行和控制情况，督促承建单位整改存在的问题；</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6）参与系统建设工作的测试、集成、竣工验收和交接；</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7）跟踪各子项目在质保期内的运行状况，督促承建单位做好售后服务。</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3.进度控制</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1）协助进行项目建设周期总进度目标的分析、论证；</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2）审查各子项目的进度计划，并监督计划的执行；</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）审核设计方、承建单位和材料设备供货方提出的进度计划/供货计划，检查、督促和控制其执行；</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）发现工程未能按计划进行时，要求项目承包商调整或修改计划，采取必要措施加快开发进度，以使实际项目进度符合合同的要求</w:t>
      </w:r>
      <w:r>
        <w:rPr>
          <w:rFonts w:hint="eastAsia" w:ascii="宋体" w:hAnsi="宋体" w:cs="宋体"/>
          <w:sz w:val="24"/>
          <w:szCs w:val="24"/>
          <w:lang w:eastAsia="zh-CN"/>
        </w:rPr>
        <w:t>。</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4.变更控制</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1）对项目变更进行严格控制，不能随意地进行变更；</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2）监理对可能发生的风险以及可能引起的变更要保持预控能力，也应当具备快速反应能力；</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3）对变更申请快速响应；</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4）任何变更都要得到三方（</w:t>
      </w:r>
      <w:r>
        <w:rPr>
          <w:rFonts w:hint="eastAsia" w:ascii="宋体" w:hAnsi="宋体" w:cs="宋体"/>
          <w:sz w:val="24"/>
          <w:szCs w:val="24"/>
          <w:lang w:val="en-US" w:eastAsia="zh-CN"/>
        </w:rPr>
        <w:t>采购</w:t>
      </w:r>
      <w:r>
        <w:rPr>
          <w:rFonts w:hint="eastAsia" w:ascii="宋体" w:hAnsi="宋体" w:cs="宋体"/>
          <w:sz w:val="24"/>
          <w:szCs w:val="24"/>
        </w:rPr>
        <w:t>单位、承建单位、投标单位）确认；</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5）明确界定项目变更的目标；</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6）加强变更风险及变更效果的评估；</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7）及时公布变更信息；</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8）选择冲击最小的方案；</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根据完整</w:t>
      </w:r>
      <w:r>
        <w:rPr>
          <w:rFonts w:hint="eastAsia" w:ascii="宋体" w:hAnsi="宋体" w:cs="宋体"/>
          <w:sz w:val="24"/>
          <w:szCs w:val="24"/>
        </w:rPr>
        <w:t>的变更程序，对变更进行严格的控制。</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5.投资控制</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1）动态管理、跟踪项目费用，进行费用控制和分析；</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2）审查项目进度款申报；</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3）严格控制和审查项目需求变更，核算成本和变化量，报采购单位审批；</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4）审核承建单位的工程量清单和工程竣工结算。</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6.合同管理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1）协助采购单位确定项目实施的合同结构；</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2）协助采购单位起草与项目有关的各类合同（包括设计合同、集成合同、开发合同、施工合同等）；</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监督检查承建单位履行合同，各类合同的跟踪管理（检查各方执行情况，提交合同管理报表与报告），任何形式对项目质量、数量、内容的变动，均须总监理工程师审核同意，并报采购单位批准后，变更令方能生效；</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）协助采购单位处理各子项目实施的每个过程出现的违约、索赔、延期、分包、纠纷调解及仲裁等问题，及时记录相关情况；</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）合同整理与归档。</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7.信息管理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1）及时向采购单位提交反映各子项目的动态信息和监理工作情况的项目文档；</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2）收集、管理项目各类文档和资料；</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3）督促、检查承建单位及时完成各阶段设计文档、会议纪要、变更单、问题跟踪单等资料的整理和归档工作；</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4）审查承建单位与采购单位之间的业务联系单、备忘录、电子邮件、传真、电话记录等，并出具处理意见；</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5）当项目质量或工期出现问题或严重偏离计划时，应及时向采购单位报告，并提出对策建议，同时督促承建单位尽快采取措施。</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8.组织协调</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1）帮助采购单位划分或澄清承建单位的工作范围和职责；</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2）监督本项目各方履行职责，协调各方的工作关系；</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3）建立畅通的沟通平台和沟通渠道，采取有效措施使项目信息在有关各方之间保持顺畅流通，积极协调本项目各方之间的关系，推动项目实施过程中问题的解决。</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9.信息安全管理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1）督促承建单位建立完善的信息安全管理制度，数据备份制度；</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2）协助组织信息安全事故的调查与处理；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3）建立信息化工程监理的信息安全管理工作目标和管理流程</w:t>
      </w:r>
      <w:r>
        <w:rPr>
          <w:rFonts w:hint="eastAsia" w:ascii="宋体" w:hAnsi="宋体" w:cs="宋体"/>
          <w:sz w:val="24"/>
          <w:szCs w:val="24"/>
          <w:lang w:eastAsia="zh-CN"/>
        </w:rPr>
        <w:t>。</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10.项目文档管理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1）督促检查承建单位及时完成各阶段设计文档、测试记录、变更记录、问题跟踪处理记录等文件的归档工作，按归档要求进行分类整理归档，按时完成资料（包括监理工作方面的归档资料）验收。确保项目中各类文件传送的规范化、制度化，监理类文书资料管理的科学化、规范化；</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2）投标单位的文档管理人员，负责收集、管理监理工作各类文书资料，对监理工作文档、收发文签收登记等进行管理。</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1</w:t>
      </w:r>
      <w:r>
        <w:rPr>
          <w:rFonts w:hint="eastAsia" w:ascii="宋体" w:hAnsi="宋体" w:cs="宋体"/>
          <w:b/>
          <w:bCs/>
          <w:sz w:val="24"/>
          <w:szCs w:val="24"/>
        </w:rPr>
        <w:t>.项目验收</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按照《深圳市</w:t>
      </w:r>
      <w:r>
        <w:rPr>
          <w:rFonts w:hint="eastAsia" w:ascii="宋体" w:hAnsi="宋体" w:cs="宋体"/>
          <w:sz w:val="24"/>
          <w:szCs w:val="24"/>
          <w:lang w:val="en-US" w:eastAsia="zh-CN"/>
        </w:rPr>
        <w:t>政务信息化项目检测与验收管理办法</w:t>
      </w:r>
      <w:r>
        <w:rPr>
          <w:rFonts w:hint="eastAsia" w:ascii="宋体" w:hAnsi="宋体" w:cs="宋体"/>
          <w:sz w:val="24"/>
          <w:szCs w:val="24"/>
        </w:rPr>
        <w:t>》等项目验收相关规定，协助建设单位组织提交项目验收或者项目验收备案需提交材料，并配合完成项目验收及验收备案其他工作。</w:t>
      </w:r>
    </w:p>
    <w:p>
      <w:pPr>
        <w:pageBreakBefore w:val="0"/>
        <w:numPr>
          <w:ilvl w:val="0"/>
          <w:numId w:val="0"/>
        </w:numPr>
        <w:kinsoku/>
        <w:wordWrap/>
        <w:overflowPunct/>
        <w:topLinePunct w:val="0"/>
        <w:autoSpaceDE/>
        <w:autoSpaceDN/>
        <w:bidi w:val="0"/>
        <w:adjustRightInd w:val="0"/>
        <w:snapToGrid w:val="0"/>
        <w:spacing w:line="560" w:lineRule="exact"/>
        <w:ind w:left="0" w:leftChars="0" w:firstLine="420" w:firstLineChars="0"/>
        <w:rPr>
          <w:rFonts w:hint="eastAsia" w:ascii="宋体" w:hAnsi="宋体" w:cs="宋体"/>
          <w:b/>
          <w:bCs/>
          <w:sz w:val="24"/>
          <w:szCs w:val="24"/>
        </w:rPr>
      </w:pPr>
      <w:r>
        <w:rPr>
          <w:rFonts w:hint="eastAsia" w:ascii="宋体" w:hAnsi="宋体" w:eastAsia="宋体" w:cs="宋体"/>
          <w:b/>
          <w:bCs/>
          <w:kern w:val="2"/>
          <w:sz w:val="24"/>
          <w:szCs w:val="24"/>
          <w:lang w:val="en-US" w:eastAsia="zh-CN" w:bidi="ar-SA"/>
        </w:rPr>
        <w:t>（</w:t>
      </w:r>
      <w:r>
        <w:rPr>
          <w:rFonts w:hint="eastAsia" w:ascii="宋体"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w:t>
      </w:r>
      <w:r>
        <w:rPr>
          <w:rFonts w:hint="eastAsia" w:ascii="宋体" w:hAnsi="宋体" w:cs="宋体"/>
          <w:b/>
          <w:bCs/>
          <w:sz w:val="24"/>
          <w:szCs w:val="24"/>
        </w:rPr>
        <w:t>过程监理</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color w:val="000000"/>
          <w:sz w:val="24"/>
          <w:szCs w:val="24"/>
        </w:rPr>
      </w:pPr>
      <w:r>
        <w:rPr>
          <w:rFonts w:hint="eastAsia" w:ascii="宋体" w:hAnsi="宋体" w:cs="宋体"/>
          <w:b/>
          <w:bCs/>
          <w:color w:val="000000"/>
          <w:sz w:val="24"/>
          <w:szCs w:val="24"/>
        </w:rPr>
        <w:t>1.实施过程中的监理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1）为保障项目全过程优质监理服务，中标人应提供对本项目优质服务承诺；</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）审核承建单位的开工申请报告，对承建单位进行开工前检查；</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）根据工程的总体规划，与采购人联合对承建单位制定的工程总体实施方案、技术方案、实施策略、实施规范等进行审核评估，并提交审核意见及相关问题处理方案和措施，以及监督方案和措施的执行；</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检查工程采用硬件、系统软件是否符合采购文件或技术方案所确定的品牌、型号、规格和质量标准，提交相关验收清单和验收方法，依此严格审查验收采购的硬件、系统软件产品，保证所有硬件、系统软件都符合合同要求；</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）督促承建单位严格执行项目开发合同、国家相关技术标准、规范，对违反要求的及时向采购人报告，并提出处理方案。对工程中的难点、重点进行检查，做好分项验收工作；</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）参与建设模型、环境的选择工作，监控建设过程质量；</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）监督需求管理、配置管理的执行和控制情况，督促</w:t>
      </w:r>
      <w:r>
        <w:rPr>
          <w:rFonts w:hint="eastAsia" w:ascii="宋体" w:hAnsi="宋体" w:cs="宋体"/>
          <w:color w:val="000000"/>
          <w:sz w:val="24"/>
          <w:szCs w:val="24"/>
          <w:lang w:val="en-US" w:eastAsia="zh-CN"/>
        </w:rPr>
        <w:t>承建</w:t>
      </w:r>
      <w:r>
        <w:rPr>
          <w:rFonts w:hint="eastAsia" w:ascii="宋体" w:hAnsi="宋体" w:cs="宋体"/>
          <w:color w:val="000000"/>
          <w:sz w:val="24"/>
          <w:szCs w:val="24"/>
        </w:rPr>
        <w:t>单位整改存在的问题；</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9</w:t>
      </w:r>
      <w:r>
        <w:rPr>
          <w:rFonts w:hint="eastAsia" w:ascii="宋体" w:hAnsi="宋体" w:cs="宋体"/>
          <w:color w:val="000000"/>
          <w:sz w:val="24"/>
          <w:szCs w:val="24"/>
        </w:rPr>
        <w:t>）根据工程进度情况，对阶段测试方案进行评审，并根据测试方案对已完成部分进行测试，就发现的问题提出处理方案和措施，以及监督方案和措施的执行；</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cs="宋体"/>
          <w:color w:val="000000"/>
          <w:sz w:val="24"/>
          <w:szCs w:val="24"/>
        </w:rPr>
        <w:t>）管理项目的时间进度，监控项目计划的制定和执行，帮助预测、识别项目中出现的主要问题和面临的主要风险因素，并跟踪、协调解决各种项目问题和风险；</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cs="宋体"/>
          <w:color w:val="000000"/>
          <w:sz w:val="24"/>
          <w:szCs w:val="24"/>
        </w:rPr>
        <w:t>）对工程的重大变更进行审核和有效控制，提出相关变更处理方案及措施，以及监督方案和措施的执行，处理好各种变更及索赔事宜；</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）组织工程质量、系统集成质量事故的原因调查、问题分析、问题评估、事故处理；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）发现质量问题时及时向采购人报告，并提出处理方案和措施，以及监督方案和措施执行；</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r>
        <w:rPr>
          <w:rFonts w:hint="eastAsia" w:ascii="宋体" w:hAnsi="宋体" w:cs="宋体"/>
          <w:color w:val="000000"/>
          <w:sz w:val="24"/>
          <w:szCs w:val="24"/>
        </w:rPr>
        <w:t>）每月编制监理月报向采购人</w:t>
      </w:r>
      <w:r>
        <w:rPr>
          <w:rFonts w:hint="eastAsia" w:ascii="宋体" w:hAnsi="宋体" w:cs="宋体"/>
          <w:color w:val="000000"/>
          <w:sz w:val="24"/>
          <w:szCs w:val="24"/>
          <w:lang w:val="en-US" w:eastAsia="zh-CN"/>
        </w:rPr>
        <w:t>汇报项目情况</w:t>
      </w:r>
      <w:r>
        <w:rPr>
          <w:rFonts w:hint="eastAsia" w:ascii="宋体" w:hAnsi="宋体" w:cs="宋体"/>
          <w:color w:val="000000"/>
          <w:sz w:val="24"/>
          <w:szCs w:val="24"/>
        </w:rPr>
        <w:t>；</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cs="宋体"/>
          <w:color w:val="000000"/>
          <w:sz w:val="24"/>
          <w:szCs w:val="24"/>
        </w:rPr>
        <w:t>）其他需要监理的事项。</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color w:val="000000"/>
          <w:sz w:val="24"/>
          <w:szCs w:val="24"/>
        </w:rPr>
      </w:pPr>
      <w:r>
        <w:rPr>
          <w:rFonts w:hint="eastAsia" w:ascii="宋体" w:hAnsi="宋体" w:cs="宋体"/>
          <w:b/>
          <w:bCs/>
          <w:color w:val="000000"/>
          <w:sz w:val="24"/>
          <w:szCs w:val="24"/>
        </w:rPr>
        <w:t>2.验收过程中的监理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1）审核承建单位测试方案，对测试过程进行全程监控，确保交付质量；</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2）协助采购人审批承建单位的验收申请，并制订工程验收计划；</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3）协助采购人进行工程初验、试运行和终验工作，并负责督促和检查承建单位的整改工作；</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4）各项目完工后根据相关合同督促承建单位将完整的原始实施技术资料移交给采购人，同时负责检查移交的文档，确保真实和完整；</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）工程验收通过后，与采购人、承建单位三方共同签署验收报告；</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）出具监理总结报告；</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）其他需要监理的事项。</w:t>
      </w:r>
    </w:p>
    <w:p>
      <w:pPr>
        <w:pageBreakBefore w:val="0"/>
        <w:kinsoku/>
        <w:wordWrap/>
        <w:overflowPunct/>
        <w:topLinePunct w:val="0"/>
        <w:autoSpaceDE/>
        <w:autoSpaceDN/>
        <w:bidi w:val="0"/>
        <w:adjustRightInd w:val="0"/>
        <w:snapToGrid w:val="0"/>
        <w:spacing w:line="560" w:lineRule="exact"/>
        <w:ind w:firstLine="481" w:firstLineChars="200"/>
        <w:rPr>
          <w:rFonts w:hint="eastAsia" w:ascii="宋体" w:hAnsi="宋体" w:cs="宋体"/>
          <w:b/>
          <w:bCs/>
          <w:color w:val="000000"/>
          <w:sz w:val="24"/>
          <w:szCs w:val="24"/>
        </w:rPr>
      </w:pPr>
      <w:r>
        <w:rPr>
          <w:rFonts w:hint="eastAsia" w:ascii="宋体" w:hAnsi="宋体" w:cs="宋体"/>
          <w:b/>
          <w:bCs/>
          <w:color w:val="000000"/>
          <w:sz w:val="24"/>
          <w:szCs w:val="24"/>
        </w:rPr>
        <w:t>3.售后服务中的监理</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1）审核承建单位的售后服务（定期维护）计划，并定期检查承建单位是否按计划进行售后服务（定期维护）；</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2）当出现质量问题时，鉴定质量问题的责任；</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3）对质量问题的处理结果进行跟踪、评审，直至解决为止；</w:t>
      </w:r>
    </w:p>
    <w:p>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rPr>
        <w:t>4）其他需要监理的事项。</w:t>
      </w:r>
    </w:p>
    <w:p>
      <w:pPr>
        <w:keepNext w:val="0"/>
        <w:keepLines w:val="0"/>
        <w:pageBreakBefore w:val="0"/>
        <w:kinsoku/>
        <w:wordWrap/>
        <w:overflowPunct/>
        <w:topLinePunct w:val="0"/>
        <w:autoSpaceDE/>
        <w:autoSpaceDN/>
        <w:bidi w:val="0"/>
        <w:spacing w:line="380" w:lineRule="exact"/>
        <w:ind w:firstLine="240" w:firstLineChars="100"/>
        <w:outlineLvl w:val="9"/>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）服务质量</w:t>
      </w:r>
    </w:p>
    <w:p>
      <w:pPr>
        <w:pStyle w:val="45"/>
        <w:keepNext w:val="0"/>
        <w:keepLines w:val="0"/>
        <w:pageBreakBefore w:val="0"/>
        <w:kinsoku/>
        <w:wordWrap/>
        <w:overflowPunct/>
        <w:topLinePunct w:val="0"/>
        <w:autoSpaceDE/>
        <w:autoSpaceDN/>
        <w:bidi w:val="0"/>
        <w:adjustRightInd w:val="0"/>
        <w:snapToGrid w:val="0"/>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1.安全达标。</w:t>
      </w:r>
      <w:r>
        <w:rPr>
          <w:rFonts w:hint="eastAsia"/>
          <w:sz w:val="24"/>
        </w:rPr>
        <w:t>采购人、中标人双方在采购和履行合同过程中所获悉的所有信息都属于保密的内容，采购人、中标人双方均有保密义务</w:t>
      </w:r>
      <w:r>
        <w:rPr>
          <w:rFonts w:hint="eastAsia"/>
          <w:sz w:val="24"/>
          <w:lang w:eastAsia="zh-CN"/>
        </w:rPr>
        <w:t>。</w:t>
      </w:r>
      <w:r>
        <w:rPr>
          <w:rFonts w:hint="eastAsia" w:ascii="宋体" w:hAnsi="宋体" w:eastAsia="宋体" w:cs="宋体"/>
          <w:sz w:val="24"/>
          <w:szCs w:val="24"/>
        </w:rPr>
        <w:t>中标人安排的监理服务人员需严格遵守项目保密协议，未经采购人允许，不得向第三方透露在提供监理服务过程中所了解的采购人有关项目信息；</w:t>
      </w:r>
    </w:p>
    <w:p>
      <w:pPr>
        <w:pStyle w:val="45"/>
        <w:keepNext w:val="0"/>
        <w:keepLines w:val="0"/>
        <w:pageBreakBefore w:val="0"/>
        <w:kinsoku/>
        <w:wordWrap/>
        <w:overflowPunct/>
        <w:topLinePunct w:val="0"/>
        <w:autoSpaceDE/>
        <w:autoSpaceDN/>
        <w:bidi w:val="0"/>
        <w:adjustRightInd w:val="0"/>
        <w:snapToGrid w:val="0"/>
        <w:spacing w:line="360" w:lineRule="auto"/>
        <w:ind w:firstLine="480" w:firstLineChars="200"/>
        <w:jc w:val="left"/>
        <w:outlineLvl w:val="9"/>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响应及时，处置规范。根据采购人实际业务需要，及时实施监理服务，按时提交书面监理服务报告；原则上在接到采购人合同技术审核任务的3天内反馈书面监理意见，积极、按时、主动参加采购人组织的有关项目全过程监理工作，并在相应阶段结束后一周内提交书面监理报告。</w:t>
      </w:r>
    </w:p>
    <w:p>
      <w:pPr>
        <w:pStyle w:val="45"/>
        <w:adjustRightInd w:val="0"/>
        <w:snapToGrid w:val="0"/>
        <w:spacing w:line="360" w:lineRule="auto"/>
        <w:ind w:firstLine="480" w:firstLineChars="200"/>
        <w:jc w:val="left"/>
        <w:outlineLvl w:val="9"/>
        <w:rPr>
          <w:rFonts w:hint="default" w:ascii="Times New Roman" w:hAnsi="Times New Roman" w:cs="Times New Roman"/>
          <w:color w:val="000000"/>
          <w:sz w:val="21"/>
          <w:szCs w:val="24"/>
        </w:rPr>
      </w:pPr>
      <w:r>
        <w:rPr>
          <w:rFonts w:hint="eastAsia" w:ascii="宋体" w:hAnsi="宋体" w:cs="宋体"/>
          <w:sz w:val="24"/>
          <w:szCs w:val="24"/>
          <w:lang w:val="en-US" w:eastAsia="zh-CN"/>
        </w:rPr>
        <w:t>3</w:t>
      </w:r>
      <w:r>
        <w:rPr>
          <w:rFonts w:hint="eastAsia" w:ascii="宋体" w:hAnsi="宋体" w:eastAsia="宋体" w:cs="宋体"/>
          <w:sz w:val="24"/>
          <w:szCs w:val="24"/>
        </w:rPr>
        <w:t>.记录规范、详细、完整。严格按照项目监理行业规范，提供完备的监理记录、事件处理记录。</w:t>
      </w:r>
    </w:p>
    <w:p>
      <w:pPr>
        <w:numPr>
          <w:ilvl w:val="0"/>
          <w:numId w:val="3"/>
        </w:numPr>
        <w:spacing w:line="360" w:lineRule="auto"/>
        <w:ind w:left="42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商务需求</w:t>
      </w:r>
    </w:p>
    <w:p>
      <w:pPr>
        <w:numPr>
          <w:ilvl w:val="0"/>
          <w:numId w:val="0"/>
        </w:numPr>
        <w:adjustRightInd w:val="0"/>
        <w:snapToGrid w:val="0"/>
        <w:spacing w:line="360" w:lineRule="auto"/>
        <w:ind w:firstLine="722"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（一）项目服务期限</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本项目监理服务期自双方合同签订之日起计算，至项目完成各单项终验为止，监理单位的服务期限结束。</w:t>
      </w:r>
    </w:p>
    <w:p>
      <w:pPr>
        <w:adjustRightInd w:val="0"/>
        <w:snapToGrid w:val="0"/>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投标方需充分考虑在本项目的整体投入并给出合理报价。</w:t>
      </w:r>
    </w:p>
    <w:p>
      <w:pPr>
        <w:numPr>
          <w:ilvl w:val="0"/>
          <w:numId w:val="0"/>
        </w:numPr>
        <w:adjustRightInd w:val="0"/>
        <w:snapToGrid w:val="0"/>
        <w:spacing w:line="360" w:lineRule="auto"/>
        <w:ind w:firstLine="722"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（二）付款方式</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本项目采取分期付款方式，</w:t>
      </w:r>
      <w:r>
        <w:rPr>
          <w:rFonts w:hint="eastAsia" w:ascii="宋体" w:hAnsi="宋体" w:eastAsia="宋体" w:cs="宋体"/>
          <w:b w:val="0"/>
          <w:bCs w:val="0"/>
          <w:color w:val="auto"/>
          <w:sz w:val="24"/>
          <w:szCs w:val="24"/>
          <w:highlight w:val="none"/>
          <w:lang w:val="en-US" w:eastAsia="zh-CN"/>
        </w:rPr>
        <w:t>具体以合同约定为准。</w:t>
      </w:r>
    </w:p>
    <w:p>
      <w:pPr>
        <w:numPr>
          <w:ilvl w:val="0"/>
          <w:numId w:val="0"/>
        </w:numPr>
        <w:adjustRightInd w:val="0"/>
        <w:snapToGrid w:val="0"/>
        <w:spacing w:line="360" w:lineRule="auto"/>
        <w:ind w:firstLine="722"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本项目监理应符合《</w:t>
      </w:r>
      <w:r>
        <w:rPr>
          <w:rFonts w:hint="eastAsia" w:ascii="宋体" w:hAnsi="宋体" w:eastAsia="宋体" w:cs="宋体"/>
          <w:color w:val="auto"/>
          <w:sz w:val="24"/>
          <w:szCs w:val="24"/>
        </w:rPr>
        <w:t>信息化工程监理规范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（GB/T19668.1-2005）</w:t>
      </w:r>
      <w:r>
        <w:rPr>
          <w:rFonts w:hint="eastAsia" w:ascii="宋体" w:hAnsi="宋体" w:eastAsia="宋体" w:cs="宋体"/>
          <w:color w:val="auto"/>
          <w:sz w:val="24"/>
          <w:szCs w:val="24"/>
          <w:lang w:val="en-US" w:eastAsia="zh-CN"/>
        </w:rPr>
        <w:t>的规定，验收前需要提交工程监理形成的所有文档，包括但不限于：监理规划、监理细则、监理月报、监理通知、监理审核意见、监理报告等。</w:t>
      </w:r>
    </w:p>
    <w:p>
      <w:pPr>
        <w:numPr>
          <w:ilvl w:val="0"/>
          <w:numId w:val="0"/>
        </w:numPr>
        <w:adjustRightInd w:val="0"/>
        <w:snapToGrid w:val="0"/>
        <w:spacing w:line="360" w:lineRule="auto"/>
        <w:ind w:firstLine="722"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（四）人员要求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投标人</w:t>
      </w:r>
      <w:r>
        <w:rPr>
          <w:rFonts w:hint="eastAsia" w:ascii="宋体" w:hAnsi="宋体" w:eastAsia="宋体" w:cs="宋体"/>
          <w:color w:val="auto"/>
          <w:sz w:val="24"/>
          <w:szCs w:val="24"/>
          <w:lang w:val="en-US" w:eastAsia="zh-CN"/>
        </w:rPr>
        <w:t>要派出一支高素质的技术人员团队，至少保证1名总监理工程师、1名总监代表和2名监理工程师组成的团队，并按</w:t>
      </w:r>
      <w:r>
        <w:rPr>
          <w:rFonts w:hint="eastAsia" w:ascii="宋体" w:hAnsi="宋体" w:cs="宋体"/>
          <w:color w:val="auto"/>
          <w:sz w:val="24"/>
          <w:szCs w:val="24"/>
          <w:lang w:val="en-US" w:eastAsia="zh-CN"/>
        </w:rPr>
        <w:t>招标方</w:t>
      </w:r>
      <w:r>
        <w:rPr>
          <w:rFonts w:hint="eastAsia" w:ascii="宋体" w:hAnsi="宋体" w:eastAsia="宋体" w:cs="宋体"/>
          <w:color w:val="auto"/>
          <w:sz w:val="24"/>
          <w:szCs w:val="24"/>
          <w:lang w:val="en-US" w:eastAsia="zh-CN"/>
        </w:rPr>
        <w:t>需要派驻</w:t>
      </w:r>
      <w:r>
        <w:rPr>
          <w:rFonts w:hint="eastAsia" w:ascii="宋体" w:hAnsi="宋体" w:cs="宋体"/>
          <w:color w:val="auto"/>
          <w:sz w:val="24"/>
          <w:szCs w:val="24"/>
          <w:lang w:val="en-US" w:eastAsia="zh-CN"/>
        </w:rPr>
        <w:t>固定</w:t>
      </w:r>
      <w:r>
        <w:rPr>
          <w:rFonts w:hint="eastAsia" w:ascii="宋体" w:hAnsi="宋体" w:eastAsia="宋体" w:cs="宋体"/>
          <w:color w:val="auto"/>
          <w:sz w:val="24"/>
          <w:szCs w:val="24"/>
          <w:lang w:val="en-US" w:eastAsia="zh-CN"/>
        </w:rPr>
        <w:t>专业人员进行项目监理，在提供服务过程中，如招标方认为中标方提供的人员不能胜任，可要求中标方在一周内更换。</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投标人另需具备后备专业技术团队，在必要时远程或现场提供技术援助。</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722" w:firstLineChars="300"/>
        <w:outlineLvl w:val="9"/>
        <w:rPr>
          <w:rFonts w:hint="eastAsia" w:ascii="宋体" w:hAnsi="宋体" w:eastAsia="宋体" w:cs="宋体"/>
          <w:b/>
          <w:bCs/>
          <w:color w:val="auto"/>
          <w:sz w:val="24"/>
          <w:szCs w:val="24"/>
          <w:highlight w:val="none"/>
        </w:rPr>
      </w:pPr>
      <w:bookmarkStart w:id="0" w:name="_Toc352327778"/>
      <w:bookmarkStart w:id="1" w:name="_Toc436296298"/>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）投标报价</w:t>
      </w:r>
      <w:bookmarkEnd w:id="0"/>
      <w:bookmarkEnd w:id="1"/>
      <w:r>
        <w:rPr>
          <w:rFonts w:hint="eastAsia" w:ascii="宋体" w:hAnsi="宋体" w:eastAsia="宋体" w:cs="宋体"/>
          <w:b/>
          <w:bCs/>
          <w:color w:val="auto"/>
          <w:sz w:val="24"/>
          <w:szCs w:val="24"/>
          <w:highlight w:val="none"/>
        </w:rPr>
        <w:t>要求</w:t>
      </w:r>
    </w:p>
    <w:p>
      <w:pPr>
        <w:keepNext w:val="0"/>
        <w:keepLines w:val="0"/>
        <w:pageBreakBefore w:val="0"/>
        <w:widowControl/>
        <w:kinsoku/>
        <w:wordWrap/>
        <w:overflowPunct/>
        <w:topLinePunct w:val="0"/>
        <w:autoSpaceDE/>
        <w:autoSpaceDN/>
        <w:bidi w:val="0"/>
        <w:spacing w:line="360" w:lineRule="auto"/>
        <w:ind w:firstLine="480" w:firstLineChars="200"/>
        <w:jc w:val="left"/>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w:t>
      </w:r>
      <w:r>
        <w:rPr>
          <w:rFonts w:hint="eastAsia" w:ascii="宋体" w:hAnsi="宋体" w:eastAsia="宋体" w:cs="宋体"/>
          <w:bCs w:val="0"/>
          <w:color w:val="auto"/>
          <w:kern w:val="2"/>
          <w:sz w:val="24"/>
          <w:szCs w:val="24"/>
        </w:rPr>
        <w:t>投标供应商应当根据本企业的成本自行决定报价，但不得以低于其企业成本的报价投标。</w:t>
      </w:r>
    </w:p>
    <w:p>
      <w:pPr>
        <w:numPr>
          <w:ilvl w:val="-1"/>
          <w:numId w:val="0"/>
        </w:numPr>
        <w:rPr>
          <w:rFonts w:hint="default" w:eastAsia="宋体"/>
          <w:color w:val="auto"/>
          <w:sz w:val="21"/>
          <w:szCs w:val="24"/>
          <w:lang w:val="en-US" w:eastAsia="zh-CN"/>
        </w:rPr>
      </w:pPr>
    </w:p>
    <w:p>
      <w:pPr>
        <w:ind w:firstLine="480" w:firstLineChars="200"/>
        <w:rPr>
          <w:rFonts w:hint="eastAsia" w:ascii="宋体" w:hAnsi="宋体" w:eastAsia="宋体" w:cs="宋体"/>
          <w:color w:val="auto"/>
          <w:sz w:val="24"/>
          <w:szCs w:val="24"/>
          <w:lang w:val="en-US" w:eastAsia="zh-CN"/>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560" w:lineRule="exact"/>
        <w:rPr>
          <w:rFonts w:hint="eastAsia" w:ascii="方正小标宋简体" w:hAnsi="Times New Roman" w:eastAsia="方正小标宋简体" w:cs="Times New Roman"/>
          <w:sz w:val="24"/>
        </w:rPr>
      </w:pPr>
      <w:r>
        <w:rPr>
          <w:rFonts w:hint="eastAsia" w:ascii="方正小标宋简体" w:hAnsi="Times New Roman" w:eastAsia="方正小标宋简体" w:cs="Times New Roman"/>
          <w:sz w:val="24"/>
        </w:rPr>
        <w:t>附件2</w:t>
      </w:r>
    </w:p>
    <w:p>
      <w:pPr>
        <w:spacing w:line="580" w:lineRule="exact"/>
        <w:jc w:val="center"/>
        <w:rPr>
          <w:rFonts w:hint="eastAsia" w:ascii="小标宋" w:hAnsi="宋体" w:eastAsia="小标宋" w:cs="方正小标宋简体"/>
          <w:sz w:val="44"/>
          <w:szCs w:val="44"/>
        </w:rPr>
      </w:pPr>
      <w:r>
        <w:rPr>
          <w:rFonts w:hint="eastAsia" w:ascii="小标宋" w:hAnsi="宋体" w:eastAsia="小标宋" w:cs="方正小标宋简体"/>
          <w:sz w:val="44"/>
          <w:szCs w:val="44"/>
        </w:rPr>
        <w:t>承  诺  书</w:t>
      </w:r>
    </w:p>
    <w:p>
      <w:pPr>
        <w:spacing w:line="580" w:lineRule="exact"/>
        <w:jc w:val="center"/>
        <w:rPr>
          <w:rFonts w:hint="eastAsia" w:ascii="小标宋" w:hAnsi="宋体" w:eastAsia="小标宋" w:cs="楷体_GB2312"/>
          <w:sz w:val="32"/>
          <w:szCs w:val="32"/>
        </w:rPr>
      </w:pPr>
      <w:r>
        <w:rPr>
          <w:rFonts w:hint="eastAsia" w:ascii="小标宋" w:hAnsi="宋体" w:eastAsia="小标宋" w:cs="楷体_GB2312"/>
          <w:sz w:val="32"/>
          <w:szCs w:val="32"/>
        </w:rPr>
        <w:t>（与投标文件同时提交）</w:t>
      </w:r>
    </w:p>
    <w:p>
      <w:pPr>
        <w:spacing w:line="580" w:lineRule="exact"/>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本公司郑重承诺：</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一、遵循公开、公平、公正和诚实信用的原则参加深圳市招生考试办公室投标活动；</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二、所提供的一切材料都是真实、有效、合法的；</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三、不与其他投标人相互串通投标报价，不排挤其他投标人的公平竞争，损害招标人或其他投标人的合法权益；</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四、不与招标人或招标代理机构串通投标，损害国家利益、社会公共利益或者他人的合法权益；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五、不向招标人或者评标成员行贿以牟取中标；</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六、不以他人名义投标或者以其他方式弄虚作假，骗取中标；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七、不出卖资质，让他人挂靠投标</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rPr>
        <w:t>不得将本项目承包给第三方</w:t>
      </w:r>
      <w:r>
        <w:rPr>
          <w:rFonts w:hint="eastAsia" w:ascii="宋体" w:hAnsi="宋体" w:eastAsia="宋体" w:cs="宋体"/>
          <w:color w:val="auto"/>
          <w:sz w:val="22"/>
          <w:szCs w:val="22"/>
        </w:rPr>
        <w:t>；</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八、不恶意压低或抬高投标报价；</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九、不在开标后进行虚假恶意投诉；</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十、按时参加标前答疑、按时递交投标文件，不在招标文件规定的投标有效期内随意撤回投标；</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十一、在规定期限内与采购单位签订合同，在规定期限内履行合同条款。</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本公司若有违反本承诺内容的行为，愿意承担法律责任，包括接受相关行政主管部门作出的处罚。</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法定代表人（签字）：</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投 标 单 位（盖章）：</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年   月   日</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cs="宋体"/>
          <w:color w:val="auto"/>
          <w:kern w:val="0"/>
          <w:sz w:val="22"/>
          <w:szCs w:val="22"/>
        </w:rPr>
        <w:sectPr>
          <w:headerReference r:id="rId3" w:type="default"/>
          <w:footerReference r:id="rId4" w:type="default"/>
          <w:pgSz w:w="11906" w:h="16838"/>
          <w:pgMar w:top="1440" w:right="2006" w:bottom="1440" w:left="1620" w:header="851" w:footer="992" w:gutter="0"/>
          <w:cols w:space="425" w:num="1"/>
          <w:docGrid w:type="lines" w:linePitch="312" w:charSpace="0"/>
        </w:sectPr>
      </w:pPr>
    </w:p>
    <w:p>
      <w:pPr>
        <w:spacing w:line="560" w:lineRule="exact"/>
        <w:rPr>
          <w:rFonts w:hint="eastAsia" w:ascii="宋体" w:hAnsi="宋体" w:eastAsia="宋体" w:cs="宋体"/>
          <w:color w:val="auto"/>
          <w:sz w:val="24"/>
          <w:lang w:val="en-US" w:eastAsia="zh-CN"/>
        </w:rPr>
      </w:pPr>
      <w:r>
        <w:rPr>
          <w:rFonts w:hint="eastAsia" w:ascii="宋体" w:hAnsi="宋体" w:eastAsia="宋体" w:cs="宋体"/>
          <w:color w:val="auto"/>
          <w:sz w:val="24"/>
        </w:rPr>
        <w:t>附件</w:t>
      </w:r>
      <w:r>
        <w:rPr>
          <w:rFonts w:hint="eastAsia" w:ascii="宋体" w:hAnsi="宋体" w:eastAsia="宋体" w:cs="宋体"/>
          <w:color w:val="auto"/>
          <w:sz w:val="24"/>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政府采购违法行为风险知悉确认书</w:t>
      </w:r>
    </w:p>
    <w:p>
      <w:pPr>
        <w:spacing w:line="5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（与投标文件同时提交）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一、本公司已充分知悉“隐瞒真实情况，提供虚假资料”的法定情形，相关情形包括但不限于：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（四）投标保证金不是从投标供应商基本账户转出的。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（五）其他隐瞒真实情况、提供虚假资料的行为。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二、本公司已充分知悉“与其他采购参加人串通投标”的法定情形，相关情形包括但不限于：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（一）投标供应商之间相互约定给予未中标的供应商利益补偿。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（四）不同投标供应商的投标文件或部分投标文件相互混装。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（五）不同投标供应商的投标文件内容存在非正常一致。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（六）由同一单位工作人员为两家以上（含两家）供应商进行同一项投标活动的。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（七）不同投标人的投标报价呈规律性差异。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（八）不同投标人的投标保证金从同一单位或者个人的账户转出。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（九）主管部门依照法律、法规认定的其他情形。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（一）对于</w:t>
      </w:r>
      <w:r>
        <w:rPr>
          <w:rFonts w:hint="eastAsia" w:ascii="宋体" w:hAnsi="宋体" w:eastAsia="宋体" w:cs="宋体"/>
          <w:color w:val="auto"/>
          <w:sz w:val="24"/>
          <w:lang w:eastAsia="zh-CN"/>
        </w:rPr>
        <w:t>从</w:t>
      </w:r>
      <w:r>
        <w:rPr>
          <w:rFonts w:hint="eastAsia" w:ascii="宋体" w:hAnsi="宋体" w:eastAsia="宋体" w:cs="宋体"/>
          <w:color w:val="auto"/>
          <w:sz w:val="24"/>
          <w:lang w:val="en-US" w:eastAsia="zh-CN"/>
        </w:rPr>
        <w:t>其他主体</w:t>
      </w:r>
      <w:r>
        <w:rPr>
          <w:rFonts w:hint="eastAsia" w:ascii="宋体" w:hAnsi="宋体" w:eastAsia="宋体" w:cs="宋体"/>
          <w:color w:val="auto"/>
          <w:sz w:val="24"/>
          <w:lang w:eastAsia="zh-CN"/>
        </w:rPr>
        <w:t>获取</w:t>
      </w:r>
      <w:r>
        <w:rPr>
          <w:rFonts w:hint="eastAsia" w:ascii="宋体" w:hAnsi="宋体" w:eastAsia="宋体" w:cs="宋体"/>
          <w:color w:val="auto"/>
          <w:sz w:val="24"/>
          <w:lang w:val="en-US" w:eastAsia="zh-CN"/>
        </w:rPr>
        <w:t>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（四）供应商应严格规范项目授权代表、员工参与招标投标的行为，加强对投标文件的审核。项目授权代表、员工</w:t>
      </w:r>
      <w:r>
        <w:rPr>
          <w:rFonts w:hint="eastAsia" w:ascii="宋体" w:hAnsi="宋体" w:eastAsia="宋体" w:cs="宋体"/>
          <w:color w:val="auto"/>
          <w:sz w:val="24"/>
          <w:lang w:eastAsia="zh-CN"/>
        </w:rPr>
        <w:t>编制、上传</w:t>
      </w:r>
      <w:r>
        <w:rPr>
          <w:rFonts w:hint="eastAsia" w:ascii="宋体" w:hAnsi="宋体" w:eastAsia="宋体" w:cs="宋体"/>
          <w:color w:val="auto"/>
          <w:sz w:val="24"/>
          <w:lang w:val="en-US" w:eastAsia="zh-CN"/>
        </w:rPr>
        <w:t>投标文件</w:t>
      </w:r>
      <w:r>
        <w:rPr>
          <w:rFonts w:hint="eastAsia" w:ascii="宋体" w:hAnsi="宋体" w:eastAsia="宋体" w:cs="宋体"/>
          <w:color w:val="auto"/>
          <w:sz w:val="24"/>
          <w:lang w:eastAsia="zh-CN"/>
        </w:rPr>
        <w:t>等行为</w:t>
      </w:r>
      <w:r>
        <w:rPr>
          <w:rFonts w:hint="eastAsia" w:ascii="宋体" w:hAnsi="宋体" w:eastAsia="宋体" w:cs="宋体"/>
          <w:color w:val="auto"/>
          <w:sz w:val="24"/>
          <w:lang w:val="en-US" w:eastAsia="zh-CN"/>
        </w:rPr>
        <w:t>违反政府采购法律法规或招标文件要求的，投标供应商应当依法承担相应法律责任。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（六）单位负责人为同一人或者存在直接控股、管理关系的不同供应商，不得参加同一合同项下的政府采购活动。相关情形</w:t>
      </w:r>
      <w:r>
        <w:rPr>
          <w:rFonts w:hint="eastAsia" w:ascii="宋体" w:hAnsi="宋体" w:eastAsia="宋体" w:cs="宋体"/>
          <w:color w:val="auto"/>
          <w:sz w:val="24"/>
          <w:lang w:eastAsia="zh-CN"/>
        </w:rPr>
        <w:t>如</w:t>
      </w:r>
      <w:r>
        <w:rPr>
          <w:rFonts w:hint="eastAsia" w:ascii="宋体" w:hAnsi="宋体" w:eastAsia="宋体" w:cs="宋体"/>
          <w:color w:val="auto"/>
          <w:sz w:val="24"/>
          <w:lang w:val="en-US" w:eastAsia="zh-CN"/>
        </w:rPr>
        <w:t>查实，依法作投标无效处理；涉嫌串通投标等违法行为的，主管部门将依法调查处理。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负责人/投标授权代表签名：</w:t>
      </w:r>
    </w:p>
    <w:p>
      <w:pPr>
        <w:keepNext w:val="0"/>
        <w:keepLines w:val="0"/>
        <w:pageBreakBefore w:val="0"/>
        <w:widowControl w:val="0"/>
        <w:kinsoku/>
        <w:wordWrap/>
        <w:overflowPunct/>
        <w:topLinePunct w:val="0"/>
        <w:autoSpaceDE/>
        <w:autoSpaceDN/>
        <w:bidi w:val="0"/>
        <w:adjustRightInd/>
        <w:snapToGrid/>
        <w:spacing w:line="240" w:lineRule="auto"/>
        <w:ind w:firstLine="2880" w:firstLineChars="1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知悉人（公章）：</w:t>
      </w:r>
    </w:p>
    <w:p>
      <w:pPr>
        <w:keepNext w:val="0"/>
        <w:keepLines w:val="0"/>
        <w:pageBreakBefore w:val="0"/>
        <w:widowControl w:val="0"/>
        <w:tabs>
          <w:tab w:val="left" w:pos="6118"/>
        </w:tabs>
        <w:kinsoku/>
        <w:wordWrap/>
        <w:overflowPunct/>
        <w:topLinePunct w:val="0"/>
        <w:autoSpaceDE/>
        <w:autoSpaceDN/>
        <w:bidi w:val="0"/>
        <w:adjustRightInd/>
        <w:snapToGrid/>
        <w:spacing w:line="240" w:lineRule="auto"/>
        <w:ind w:firstLine="480" w:firstLineChars="200"/>
        <w:jc w:val="right"/>
        <w:textAlignment w:val="auto"/>
        <w:rPr>
          <w:rFonts w:hint="eastAsia"/>
        </w:rPr>
      </w:pPr>
      <w:r>
        <w:rPr>
          <w:rFonts w:hint="eastAsia" w:ascii="宋体" w:hAnsi="宋体" w:eastAsia="宋体" w:cs="宋体"/>
          <w:color w:val="auto"/>
          <w:sz w:val="24"/>
          <w:lang w:val="en-US" w:eastAsia="zh-CN"/>
        </w:rPr>
        <w:t xml:space="preserve">  日期：</w:t>
      </w:r>
      <w:r>
        <w:rPr>
          <w:rFonts w:hint="eastAsia" w:ascii="宋体" w:hAnsi="宋体" w:eastAsia="宋体" w:cs="宋体"/>
          <w:color w:val="auto"/>
          <w:sz w:val="24"/>
          <w:lang w:val="en-US" w:eastAsia="zh-CN"/>
        </w:rPr>
        <w:tab/>
      </w:r>
    </w:p>
    <w:sectPr>
      <w:pgSz w:w="11906" w:h="16838"/>
      <w:pgMar w:top="1440" w:right="200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CC"/>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小标宋">
    <w:altName w:val="方正小标宋简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OpenSymbol">
    <w:panose1 w:val="05010000000000000000"/>
    <w:charset w:val="00"/>
    <w:family w:val="auto"/>
    <w:pitch w:val="default"/>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73831"/>
    <w:multiLevelType w:val="singleLevel"/>
    <w:tmpl w:val="EF373831"/>
    <w:lvl w:ilvl="0" w:tentative="0">
      <w:start w:val="3"/>
      <w:numFmt w:val="chineseCounting"/>
      <w:suff w:val="nothing"/>
      <w:lvlText w:val="%1、"/>
      <w:lvlJc w:val="left"/>
      <w:rPr>
        <w:rFonts w:hint="eastAsia"/>
      </w:rPr>
    </w:lvl>
  </w:abstractNum>
  <w:abstractNum w:abstractNumId="1">
    <w:nsid w:val="3E592662"/>
    <w:multiLevelType w:val="multilevel"/>
    <w:tmpl w:val="3E592662"/>
    <w:lvl w:ilvl="0" w:tentative="0">
      <w:start w:val="1"/>
      <w:numFmt w:val="decimal"/>
      <w:pStyle w:val="2"/>
      <w:lvlText w:val="%1."/>
      <w:lvlJc w:val="left"/>
      <w:pPr>
        <w:ind w:left="420" w:hanging="420"/>
      </w:pPr>
      <w:rPr>
        <w:rFonts w:hint="eastAsia"/>
        <w:b/>
        <w:i w:val="0"/>
        <w:sz w:val="52"/>
        <w:szCs w:val="52"/>
      </w:rPr>
    </w:lvl>
    <w:lvl w:ilvl="1" w:tentative="0">
      <w:start w:val="1"/>
      <w:numFmt w:val="decimal"/>
      <w:pStyle w:val="3"/>
      <w:suff w:val="space"/>
      <w:lvlText w:val="%1.%2"/>
      <w:lvlJc w:val="left"/>
      <w:pPr>
        <w:ind w:left="142" w:firstLine="0"/>
      </w:pPr>
      <w:rPr>
        <w:rFonts w:hint="default" w:ascii="Times New Roman" w:hAnsi="Times New Roman" w:cs="Times New Roman"/>
        <w:b/>
        <w:i w:val="0"/>
        <w:sz w:val="32"/>
      </w:rPr>
    </w:lvl>
    <w:lvl w:ilvl="2" w:tentative="0">
      <w:start w:val="1"/>
      <w:numFmt w:val="decimal"/>
      <w:pStyle w:val="4"/>
      <w:suff w:val="space"/>
      <w:lvlText w:val="%1.%2.%3"/>
      <w:lvlJc w:val="left"/>
      <w:pPr>
        <w:ind w:left="0" w:firstLine="0"/>
      </w:pPr>
      <w:rPr>
        <w:rFonts w:hint="default" w:ascii="Times New Roman" w:hAnsi="Times New Roman" w:eastAsia="宋体" w:cs="Times New Roman"/>
        <w:b/>
        <w:i w:val="0"/>
        <w:sz w:val="30"/>
      </w:rPr>
    </w:lvl>
    <w:lvl w:ilvl="3" w:tentative="0">
      <w:start w:val="1"/>
      <w:numFmt w:val="decimal"/>
      <w:pStyle w:val="5"/>
      <w:suff w:val="nothing"/>
      <w:lvlText w:val="%1.%2.%3.%4"/>
      <w:lvlJc w:val="left"/>
      <w:pPr>
        <w:ind w:left="0" w:firstLine="0"/>
      </w:pPr>
      <w:rPr>
        <w:rFonts w:hint="eastAsia"/>
        <w:b w:val="0"/>
        <w:bCs w:val="0"/>
        <w:i w:val="0"/>
        <w:iCs w:val="0"/>
        <w:caps w:val="0"/>
        <w:smallCaps w:val="0"/>
        <w:strike w:val="0"/>
        <w:dstrike w:val="0"/>
        <w:outline w:val="0"/>
        <w:shadow w:val="0"/>
        <w:emboss w:val="0"/>
        <w:imprint w:val="0"/>
        <w:spacing w:val="0"/>
        <w:position w:val="0"/>
        <w:u w:val="none"/>
        <w:vertAlign w:val="baseline"/>
      </w:rPr>
    </w:lvl>
    <w:lvl w:ilvl="4" w:tentative="0">
      <w:start w:val="1"/>
      <w:numFmt w:val="decimal"/>
      <w:pStyle w:val="6"/>
      <w:suff w:val="nothing"/>
      <w:lvlText w:val="%1.%2.%3.%4.%5 "/>
      <w:lvlJc w:val="left"/>
      <w:pPr>
        <w:ind w:left="0" w:firstLine="0"/>
      </w:pPr>
      <w:rPr>
        <w:rFonts w:hint="default" w:ascii="Times New Roman" w:hAnsi="Times New Roman" w:cs="Times New Roman"/>
        <w:b/>
        <w:i w:val="0"/>
        <w:sz w:val="24"/>
      </w:rPr>
    </w:lvl>
    <w:lvl w:ilvl="5" w:tentative="0">
      <w:start w:val="1"/>
      <w:numFmt w:val="decimal"/>
      <w:pStyle w:val="7"/>
      <w:suff w:val="nothing"/>
      <w:lvlText w:val="%1.%2.%3.%4.%5.%6"/>
      <w:lvlJc w:val="left"/>
      <w:pPr>
        <w:ind w:left="708" w:firstLine="0"/>
      </w:pPr>
      <w:rPr>
        <w:b w:val="0"/>
        <w:bCs w:val="0"/>
        <w:i w:val="0"/>
        <w:iCs w:val="0"/>
        <w:caps w:val="0"/>
        <w:smallCaps w:val="0"/>
        <w:strike w:val="0"/>
        <w:dstrike w:val="0"/>
        <w:outline w:val="0"/>
        <w:shadow w:val="0"/>
        <w:emboss w:val="0"/>
        <w:imprint w:val="0"/>
        <w:spacing w:val="0"/>
        <w:position w:val="0"/>
        <w:u w:val="none"/>
        <w:vertAlign w:val="baseline"/>
      </w:rPr>
    </w:lvl>
    <w:lvl w:ilvl="6" w:tentative="0">
      <w:start w:val="1"/>
      <w:numFmt w:val="decimal"/>
      <w:pStyle w:val="8"/>
      <w:suff w:val="nothing"/>
      <w:lvlText w:val="%1.%2.%3.%4.%5.%6.%7"/>
      <w:lvlJc w:val="left"/>
      <w:pPr>
        <w:ind w:left="1702" w:firstLine="0"/>
      </w:pPr>
      <w:rPr>
        <w:rFonts w:hint="eastAsia"/>
      </w:rPr>
    </w:lvl>
    <w:lvl w:ilvl="7" w:tentative="0">
      <w:start w:val="1"/>
      <w:numFmt w:val="none"/>
      <w:suff w:val="nothing"/>
      <w:lvlText w:val=""/>
      <w:lvlJc w:val="left"/>
      <w:pPr>
        <w:ind w:left="708" w:firstLine="0"/>
      </w:pPr>
      <w:rPr>
        <w:rFonts w:hint="eastAsia"/>
      </w:rPr>
    </w:lvl>
    <w:lvl w:ilvl="8" w:tentative="0">
      <w:start w:val="1"/>
      <w:numFmt w:val="none"/>
      <w:suff w:val="nothing"/>
      <w:lvlText w:val=""/>
      <w:lvlJc w:val="left"/>
      <w:pPr>
        <w:ind w:left="708" w:firstLine="0"/>
      </w:pPr>
      <w:rPr>
        <w:rFonts w:hint="eastAsia"/>
      </w:rPr>
    </w:lvl>
  </w:abstractNum>
  <w:abstractNum w:abstractNumId="2">
    <w:nsid w:val="76F44918"/>
    <w:multiLevelType w:val="multilevel"/>
    <w:tmpl w:val="76F44918"/>
    <w:lvl w:ilvl="0" w:tentative="0">
      <w:start w:val="1"/>
      <w:numFmt w:val="lowerLetter"/>
      <w:pStyle w:val="4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Y1ODZiZDU2YzQwYjAzYTdmNzhjMDY2ZmJkNzEifQ=="/>
  </w:docVars>
  <w:rsids>
    <w:rsidRoot w:val="00000000"/>
    <w:rsid w:val="1EF6ED67"/>
    <w:rsid w:val="24597807"/>
    <w:rsid w:val="2D9FD1AA"/>
    <w:rsid w:val="36789079"/>
    <w:rsid w:val="5E5EDA27"/>
    <w:rsid w:val="65FDE901"/>
    <w:rsid w:val="6BEF58D7"/>
    <w:rsid w:val="6DF97010"/>
    <w:rsid w:val="6F7E2541"/>
    <w:rsid w:val="6FFFBBA6"/>
    <w:rsid w:val="749FE310"/>
    <w:rsid w:val="77FC6657"/>
    <w:rsid w:val="7BD5455A"/>
    <w:rsid w:val="7CC57F58"/>
    <w:rsid w:val="7DB73F43"/>
    <w:rsid w:val="7DFD2986"/>
    <w:rsid w:val="7DFE5554"/>
    <w:rsid w:val="A3E7EB4C"/>
    <w:rsid w:val="A3EF29FB"/>
    <w:rsid w:val="AE9EEE2E"/>
    <w:rsid w:val="B8C5DEB6"/>
    <w:rsid w:val="BCBE9923"/>
    <w:rsid w:val="C0FD1867"/>
    <w:rsid w:val="C3D5C637"/>
    <w:rsid w:val="CB6F4A2F"/>
    <w:rsid w:val="D7FE40E0"/>
    <w:rsid w:val="DF7DADFF"/>
    <w:rsid w:val="DFFFA8EA"/>
    <w:rsid w:val="E5D52228"/>
    <w:rsid w:val="E6FFDB2E"/>
    <w:rsid w:val="F9BB9CE9"/>
    <w:rsid w:val="FA4BB095"/>
    <w:rsid w:val="FBFE4F71"/>
    <w:rsid w:val="FEBF5E55"/>
    <w:rsid w:val="FF3C3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jc w:val="left"/>
      <w:outlineLvl w:val="0"/>
    </w:pPr>
    <w:rPr>
      <w:b/>
      <w:bCs/>
      <w:kern w:val="44"/>
      <w:sz w:val="44"/>
      <w:szCs w:val="44"/>
      <w:lang w:val="zh-CN"/>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26"/>
    <w:unhideWhenUsed/>
    <w:qFormat/>
    <w:uiPriority w:val="0"/>
    <w:pPr>
      <w:keepNext/>
      <w:keepLines/>
      <w:numPr>
        <w:ilvl w:val="2"/>
        <w:numId w:val="1"/>
      </w:numPr>
      <w:spacing w:before="260" w:after="260" w:line="415" w:lineRule="auto"/>
      <w:outlineLvl w:val="2"/>
    </w:pPr>
    <w:rPr>
      <w:b/>
      <w:bCs/>
      <w:kern w:val="0"/>
      <w:sz w:val="32"/>
      <w:szCs w:val="32"/>
      <w:lang w:val="zh-CN"/>
    </w:rPr>
  </w:style>
  <w:style w:type="paragraph" w:styleId="5">
    <w:name w:val="heading 4"/>
    <w:basedOn w:val="1"/>
    <w:next w:val="1"/>
    <w:link w:val="27"/>
    <w:unhideWhenUsed/>
    <w:qFormat/>
    <w:uiPriority w:val="0"/>
    <w:pPr>
      <w:keepNext/>
      <w:keepLines/>
      <w:numPr>
        <w:ilvl w:val="3"/>
        <w:numId w:val="1"/>
      </w:numPr>
      <w:spacing w:before="280" w:after="290" w:line="376" w:lineRule="auto"/>
      <w:outlineLvl w:val="3"/>
    </w:pPr>
    <w:rPr>
      <w:rFonts w:ascii="Calibri Light" w:hAnsi="Calibri Light"/>
      <w:b/>
      <w:bCs/>
      <w:kern w:val="0"/>
      <w:sz w:val="28"/>
      <w:szCs w:val="28"/>
      <w:lang w:val="zh-CN"/>
    </w:rPr>
  </w:style>
  <w:style w:type="paragraph" w:styleId="6">
    <w:name w:val="heading 5"/>
    <w:basedOn w:val="1"/>
    <w:next w:val="1"/>
    <w:link w:val="28"/>
    <w:qFormat/>
    <w:uiPriority w:val="0"/>
    <w:pPr>
      <w:keepNext/>
      <w:keepLines/>
      <w:widowControl/>
      <w:numPr>
        <w:ilvl w:val="4"/>
        <w:numId w:val="1"/>
      </w:numPr>
      <w:spacing w:before="280" w:after="290" w:line="376" w:lineRule="auto"/>
      <w:jc w:val="left"/>
      <w:outlineLvl w:val="4"/>
    </w:pPr>
    <w:rPr>
      <w:rFonts w:ascii="宋体" w:hAnsi="宋体"/>
      <w:b/>
      <w:bCs/>
      <w:kern w:val="0"/>
      <w:sz w:val="28"/>
      <w:szCs w:val="28"/>
      <w:lang w:val="zh-CN"/>
    </w:rPr>
  </w:style>
  <w:style w:type="paragraph" w:styleId="7">
    <w:name w:val="heading 6"/>
    <w:basedOn w:val="1"/>
    <w:next w:val="1"/>
    <w:link w:val="29"/>
    <w:qFormat/>
    <w:uiPriority w:val="0"/>
    <w:pPr>
      <w:keepNext/>
      <w:keepLines/>
      <w:widowControl/>
      <w:numPr>
        <w:ilvl w:val="5"/>
        <w:numId w:val="1"/>
      </w:numPr>
      <w:spacing w:before="240" w:after="64" w:line="320" w:lineRule="auto"/>
      <w:ind w:left="0"/>
      <w:jc w:val="left"/>
      <w:outlineLvl w:val="5"/>
    </w:pPr>
    <w:rPr>
      <w:rFonts w:ascii="Arial" w:hAnsi="Arial" w:eastAsia="黑体"/>
      <w:b/>
      <w:bCs/>
      <w:spacing w:val="-5"/>
      <w:kern w:val="0"/>
      <w:sz w:val="24"/>
      <w:lang w:val="zh-CN" w:eastAsia="en-US"/>
    </w:rPr>
  </w:style>
  <w:style w:type="paragraph" w:styleId="8">
    <w:name w:val="heading 7"/>
    <w:basedOn w:val="1"/>
    <w:next w:val="1"/>
    <w:link w:val="30"/>
    <w:qFormat/>
    <w:uiPriority w:val="0"/>
    <w:pPr>
      <w:keepNext/>
      <w:keepLines/>
      <w:widowControl/>
      <w:numPr>
        <w:ilvl w:val="6"/>
        <w:numId w:val="1"/>
      </w:numPr>
      <w:spacing w:before="240" w:after="64" w:line="320" w:lineRule="auto"/>
      <w:ind w:left="0"/>
      <w:jc w:val="left"/>
      <w:outlineLvl w:val="6"/>
    </w:pPr>
    <w:rPr>
      <w:rFonts w:ascii="Arial" w:hAnsi="Arial"/>
      <w:b/>
      <w:bCs/>
      <w:spacing w:val="-5"/>
      <w:kern w:val="0"/>
      <w:sz w:val="24"/>
      <w:lang w:val="zh-CN"/>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9">
    <w:name w:val="Normal Indent"/>
    <w:basedOn w:val="1"/>
    <w:next w:val="10"/>
    <w:qFormat/>
    <w:uiPriority w:val="0"/>
    <w:pPr>
      <w:ind w:firstLine="420" w:firstLineChars="200"/>
    </w:pPr>
    <w:rPr>
      <w:rFonts w:ascii="Calibri" w:hAnsi="Calibri"/>
      <w:kern w:val="0"/>
      <w:sz w:val="20"/>
    </w:rPr>
  </w:style>
  <w:style w:type="paragraph" w:styleId="10">
    <w:name w:val="Body Text"/>
    <w:basedOn w:val="1"/>
    <w:next w:val="11"/>
    <w:link w:val="37"/>
    <w:unhideWhenUsed/>
    <w:qFormat/>
    <w:uiPriority w:val="99"/>
    <w:pPr>
      <w:spacing w:after="120"/>
    </w:pPr>
  </w:style>
  <w:style w:type="paragraph" w:styleId="11">
    <w:name w:val="Title"/>
    <w:basedOn w:val="1"/>
    <w:next w:val="1"/>
    <w:qFormat/>
    <w:uiPriority w:val="0"/>
    <w:pPr>
      <w:jc w:val="center"/>
      <w:outlineLvl w:val="0"/>
    </w:pPr>
    <w:rPr>
      <w:rFonts w:ascii="Cambria" w:hAnsi="Cambria"/>
      <w:b/>
      <w:bCs/>
      <w:sz w:val="32"/>
      <w:szCs w:val="32"/>
    </w:rPr>
  </w:style>
  <w:style w:type="paragraph" w:styleId="12">
    <w:name w:val="annotation text"/>
    <w:basedOn w:val="1"/>
    <w:qFormat/>
    <w:uiPriority w:val="99"/>
    <w:pPr>
      <w:jc w:val="left"/>
    </w:pPr>
    <w:rPr>
      <w:rFonts w:asciiTheme="minorHAnsi" w:hAnsiTheme="minorHAnsi" w:eastAsiaTheme="minorEastAsia" w:cstheme="minorBidi"/>
    </w:rPr>
  </w:style>
  <w:style w:type="paragraph" w:styleId="13">
    <w:name w:val="Plain Text"/>
    <w:basedOn w:val="1"/>
    <w:link w:val="34"/>
    <w:qFormat/>
    <w:uiPriority w:val="0"/>
    <w:rPr>
      <w:rFonts w:ascii="宋体" w:hAnsi="Courier New"/>
      <w:kern w:val="0"/>
      <w:sz w:val="20"/>
      <w:szCs w:val="20"/>
      <w:lang w:val="zh-CN"/>
    </w:rPr>
  </w:style>
  <w:style w:type="paragraph" w:styleId="14">
    <w:name w:val="footer"/>
    <w:basedOn w:val="1"/>
    <w:link w:val="32"/>
    <w:unhideWhenUsed/>
    <w:qFormat/>
    <w:uiPriority w:val="99"/>
    <w:pPr>
      <w:tabs>
        <w:tab w:val="center" w:pos="4153"/>
        <w:tab w:val="right" w:pos="8306"/>
      </w:tabs>
      <w:snapToGrid w:val="0"/>
      <w:jc w:val="left"/>
    </w:pPr>
    <w:rPr>
      <w:rFonts w:ascii="Calibri" w:hAnsi="Calibri"/>
      <w:kern w:val="0"/>
      <w:sz w:val="18"/>
      <w:szCs w:val="18"/>
      <w:lang w:val="zh-CN"/>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16">
    <w:name w:val="Body Text 2"/>
    <w:basedOn w:val="1"/>
    <w:qFormat/>
    <w:uiPriority w:val="0"/>
    <w:pPr>
      <w:spacing w:line="360" w:lineRule="auto"/>
    </w:pPr>
    <w:rPr>
      <w:sz w:val="24"/>
    </w:rPr>
  </w:style>
  <w:style w:type="paragraph" w:styleId="1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8">
    <w:name w:val="Body Text First Indent"/>
    <w:basedOn w:val="10"/>
    <w:link w:val="38"/>
    <w:qFormat/>
    <w:uiPriority w:val="0"/>
    <w:pPr>
      <w:widowControl/>
      <w:ind w:firstLine="420" w:firstLineChars="100"/>
      <w:jc w:val="left"/>
    </w:pPr>
    <w:rPr>
      <w:kern w:val="0"/>
      <w:sz w:val="20"/>
      <w:szCs w:val="20"/>
      <w:lang w:val="zh-CN"/>
    </w:rPr>
  </w:style>
  <w:style w:type="table" w:styleId="20">
    <w:name w:val="Table Grid"/>
    <w:basedOn w:val="19"/>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basedOn w:val="21"/>
    <w:qFormat/>
    <w:uiPriority w:val="0"/>
    <w:rPr>
      <w:sz w:val="21"/>
      <w:szCs w:val="21"/>
    </w:rPr>
  </w:style>
  <w:style w:type="character" w:customStyle="1" w:styleId="24">
    <w:name w:val="标题 2 字符"/>
    <w:basedOn w:val="21"/>
    <w:link w:val="3"/>
    <w:qFormat/>
    <w:uiPriority w:val="0"/>
    <w:rPr>
      <w:rFonts w:ascii="Cambria" w:hAnsi="Cambria" w:eastAsia="宋体" w:cs="Times New Roman"/>
      <w:b/>
      <w:bCs/>
      <w:kern w:val="0"/>
      <w:sz w:val="32"/>
      <w:szCs w:val="32"/>
      <w:lang w:val="zh-CN" w:eastAsia="zh-CN"/>
    </w:rPr>
  </w:style>
  <w:style w:type="character" w:customStyle="1" w:styleId="25">
    <w:name w:val="标题 1 字符"/>
    <w:basedOn w:val="21"/>
    <w:link w:val="2"/>
    <w:qFormat/>
    <w:uiPriority w:val="0"/>
    <w:rPr>
      <w:rFonts w:ascii="Times New Roman" w:hAnsi="Times New Roman" w:eastAsia="宋体" w:cs="Times New Roman"/>
      <w:b/>
      <w:bCs/>
      <w:kern w:val="44"/>
      <w:sz w:val="44"/>
      <w:szCs w:val="44"/>
      <w:lang w:val="zh-CN" w:eastAsia="zh-CN"/>
    </w:rPr>
  </w:style>
  <w:style w:type="character" w:customStyle="1" w:styleId="26">
    <w:name w:val="标题 3 字符"/>
    <w:basedOn w:val="21"/>
    <w:link w:val="4"/>
    <w:qFormat/>
    <w:uiPriority w:val="0"/>
    <w:rPr>
      <w:rFonts w:ascii="Times New Roman" w:hAnsi="Times New Roman" w:eastAsia="宋体" w:cs="Times New Roman"/>
      <w:b/>
      <w:bCs/>
      <w:kern w:val="0"/>
      <w:sz w:val="32"/>
      <w:szCs w:val="32"/>
      <w:lang w:val="zh-CN" w:eastAsia="zh-CN"/>
    </w:rPr>
  </w:style>
  <w:style w:type="character" w:customStyle="1" w:styleId="27">
    <w:name w:val="标题 4 字符"/>
    <w:basedOn w:val="21"/>
    <w:link w:val="5"/>
    <w:qFormat/>
    <w:uiPriority w:val="0"/>
    <w:rPr>
      <w:rFonts w:ascii="Calibri Light" w:hAnsi="Calibri Light" w:eastAsia="宋体" w:cs="Times New Roman"/>
      <w:b/>
      <w:bCs/>
      <w:kern w:val="0"/>
      <w:sz w:val="28"/>
      <w:szCs w:val="28"/>
      <w:lang w:val="zh-CN" w:eastAsia="zh-CN"/>
    </w:rPr>
  </w:style>
  <w:style w:type="character" w:customStyle="1" w:styleId="28">
    <w:name w:val="标题 5 字符"/>
    <w:basedOn w:val="21"/>
    <w:link w:val="6"/>
    <w:qFormat/>
    <w:uiPriority w:val="0"/>
    <w:rPr>
      <w:rFonts w:ascii="宋体" w:hAnsi="宋体" w:eastAsia="宋体" w:cs="Times New Roman"/>
      <w:b/>
      <w:bCs/>
      <w:kern w:val="0"/>
      <w:sz w:val="28"/>
      <w:szCs w:val="28"/>
      <w:lang w:val="zh-CN" w:eastAsia="zh-CN"/>
    </w:rPr>
  </w:style>
  <w:style w:type="character" w:customStyle="1" w:styleId="29">
    <w:name w:val="标题 6 字符"/>
    <w:basedOn w:val="21"/>
    <w:link w:val="7"/>
    <w:qFormat/>
    <w:uiPriority w:val="0"/>
    <w:rPr>
      <w:rFonts w:ascii="Arial" w:hAnsi="Arial" w:eastAsia="黑体" w:cs="Times New Roman"/>
      <w:b/>
      <w:bCs/>
      <w:spacing w:val="-5"/>
      <w:kern w:val="0"/>
      <w:sz w:val="24"/>
      <w:szCs w:val="24"/>
      <w:lang w:val="zh-CN" w:eastAsia="en-US"/>
    </w:rPr>
  </w:style>
  <w:style w:type="character" w:customStyle="1" w:styleId="30">
    <w:name w:val="标题 7 字符"/>
    <w:basedOn w:val="21"/>
    <w:link w:val="8"/>
    <w:qFormat/>
    <w:uiPriority w:val="0"/>
    <w:rPr>
      <w:rFonts w:ascii="Arial" w:hAnsi="Arial" w:eastAsia="宋体" w:cs="Times New Roman"/>
      <w:b/>
      <w:bCs/>
      <w:spacing w:val="-5"/>
      <w:kern w:val="0"/>
      <w:sz w:val="24"/>
      <w:szCs w:val="24"/>
      <w:lang w:val="zh-CN" w:eastAsia="zh-CN"/>
    </w:rPr>
  </w:style>
  <w:style w:type="character" w:customStyle="1" w:styleId="31">
    <w:name w:val="页眉 字符"/>
    <w:basedOn w:val="21"/>
    <w:link w:val="15"/>
    <w:qFormat/>
    <w:uiPriority w:val="99"/>
    <w:rPr>
      <w:rFonts w:ascii="Calibri" w:hAnsi="Calibri" w:eastAsia="宋体" w:cs="Times New Roman"/>
      <w:kern w:val="0"/>
      <w:sz w:val="18"/>
      <w:szCs w:val="18"/>
      <w:lang w:val="zh-CN" w:eastAsia="zh-CN"/>
    </w:rPr>
  </w:style>
  <w:style w:type="character" w:customStyle="1" w:styleId="32">
    <w:name w:val="页脚 字符"/>
    <w:basedOn w:val="21"/>
    <w:link w:val="14"/>
    <w:qFormat/>
    <w:uiPriority w:val="99"/>
    <w:rPr>
      <w:rFonts w:ascii="Calibri" w:hAnsi="Calibri" w:eastAsia="宋体" w:cs="Times New Roman"/>
      <w:kern w:val="0"/>
      <w:sz w:val="18"/>
      <w:szCs w:val="18"/>
      <w:lang w:val="zh-CN" w:eastAsia="zh-CN"/>
    </w:rPr>
  </w:style>
  <w:style w:type="paragraph" w:customStyle="1" w:styleId="33">
    <w:name w:val="Block Quotation"/>
    <w:basedOn w:val="1"/>
    <w:next w:val="1"/>
    <w:qFormat/>
    <w:uiPriority w:val="0"/>
    <w:pPr>
      <w:autoSpaceDE w:val="0"/>
      <w:autoSpaceDN w:val="0"/>
      <w:adjustRightInd w:val="0"/>
      <w:spacing w:before="120" w:after="120"/>
      <w:jc w:val="left"/>
    </w:pPr>
    <w:rPr>
      <w:rFonts w:ascii="仿宋_GB2312" w:eastAsia="仿宋_GB2312"/>
      <w:kern w:val="0"/>
      <w:sz w:val="24"/>
    </w:rPr>
  </w:style>
  <w:style w:type="character" w:customStyle="1" w:styleId="34">
    <w:name w:val="纯文本 字符"/>
    <w:basedOn w:val="21"/>
    <w:link w:val="13"/>
    <w:qFormat/>
    <w:uiPriority w:val="0"/>
    <w:rPr>
      <w:rFonts w:ascii="宋体" w:hAnsi="Courier New" w:eastAsia="宋体" w:cs="Times New Roman"/>
      <w:kern w:val="0"/>
      <w:sz w:val="20"/>
      <w:szCs w:val="20"/>
      <w:lang w:val="zh-CN" w:eastAsia="zh-CN"/>
    </w:rPr>
  </w:style>
  <w:style w:type="paragraph" w:customStyle="1" w:styleId="35">
    <w:name w:val="彩色列表 - 强调文字颜色 11"/>
    <w:basedOn w:val="1"/>
    <w:qFormat/>
    <w:uiPriority w:val="34"/>
    <w:pPr>
      <w:ind w:firstLine="420" w:firstLineChars="200"/>
    </w:pPr>
  </w:style>
  <w:style w:type="paragraph" w:customStyle="1" w:styleId="36">
    <w:name w:val="列出段落1"/>
    <w:basedOn w:val="1"/>
    <w:qFormat/>
    <w:uiPriority w:val="34"/>
    <w:pPr>
      <w:ind w:firstLine="420" w:firstLineChars="200"/>
    </w:pPr>
  </w:style>
  <w:style w:type="character" w:customStyle="1" w:styleId="37">
    <w:name w:val="正文文本 字符"/>
    <w:basedOn w:val="21"/>
    <w:link w:val="10"/>
    <w:semiHidden/>
    <w:qFormat/>
    <w:uiPriority w:val="99"/>
    <w:rPr>
      <w:rFonts w:ascii="Times New Roman" w:hAnsi="Times New Roman" w:eastAsia="宋体" w:cs="Times New Roman"/>
      <w:szCs w:val="24"/>
    </w:rPr>
  </w:style>
  <w:style w:type="character" w:customStyle="1" w:styleId="38">
    <w:name w:val="正文文本首行缩进 字符"/>
    <w:basedOn w:val="37"/>
    <w:link w:val="18"/>
    <w:qFormat/>
    <w:uiPriority w:val="0"/>
    <w:rPr>
      <w:rFonts w:ascii="Times New Roman" w:hAnsi="Times New Roman" w:eastAsia="宋体" w:cs="Times New Roman"/>
      <w:kern w:val="0"/>
      <w:sz w:val="20"/>
      <w:szCs w:val="20"/>
      <w:lang w:val="zh-CN" w:eastAsia="zh-CN"/>
    </w:rPr>
  </w:style>
  <w:style w:type="paragraph" w:customStyle="1" w:styleId="39">
    <w:name w:val="Default New"/>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40">
    <w:name w:val="列出段落2"/>
    <w:basedOn w:val="1"/>
    <w:qFormat/>
    <w:uiPriority w:val="34"/>
    <w:pPr>
      <w:ind w:firstLine="420" w:firstLineChars="200"/>
    </w:pPr>
  </w:style>
  <w:style w:type="paragraph" w:customStyle="1" w:styleId="41">
    <w:name w:val="列表段落1"/>
    <w:basedOn w:val="1"/>
    <w:unhideWhenUsed/>
    <w:qFormat/>
    <w:uiPriority w:val="99"/>
    <w:pPr>
      <w:ind w:firstLine="420" w:firstLineChars="200"/>
    </w:pPr>
  </w:style>
  <w:style w:type="paragraph" w:customStyle="1" w:styleId="42">
    <w:name w:val="表格"/>
    <w:basedOn w:val="10"/>
    <w:qFormat/>
    <w:uiPriority w:val="1"/>
    <w:rPr>
      <w:rFonts w:ascii="Calibri" w:hAnsi="Calibri"/>
    </w:rPr>
  </w:style>
  <w:style w:type="paragraph" w:customStyle="1" w:styleId="4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44">
    <w:name w:val="font11"/>
    <w:basedOn w:val="21"/>
    <w:qFormat/>
    <w:uiPriority w:val="0"/>
    <w:rPr>
      <w:rFonts w:hint="eastAsia" w:ascii="宋体" w:hAnsi="宋体" w:eastAsia="宋体" w:cs="宋体"/>
      <w:color w:val="000000"/>
      <w:sz w:val="24"/>
      <w:szCs w:val="24"/>
      <w:u w:val="none"/>
    </w:rPr>
  </w:style>
  <w:style w:type="paragraph" w:customStyle="1" w:styleId="45">
    <w:name w:val="_Style 1"/>
    <w:qFormat/>
    <w:uiPriority w:val="99"/>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619</Words>
  <Characters>3534</Characters>
  <Lines>29</Lines>
  <Paragraphs>8</Paragraphs>
  <TotalTime>14</TotalTime>
  <ScaleCrop>false</ScaleCrop>
  <LinksUpToDate>false</LinksUpToDate>
  <CharactersWithSpaces>4145</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2016-04-17T21:31:00Z</dcterms:created>
  <dc:creator>孙飞</dc:creator>
  <cp:lastModifiedBy>陈树鑫</cp:lastModifiedBy>
  <cp:lastPrinted>2022-01-23T01:29:00Z</cp:lastPrinted>
  <dcterms:modified xsi:type="dcterms:W3CDTF">2024-03-29T15:56:18Z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6880A814E5AA3C708A45F9657483EBE1</vt:lpwstr>
  </property>
</Properties>
</file>