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1C9D0">
      <w:pPr>
        <w:spacing w:line="330" w:lineRule="auto"/>
        <w:rPr>
          <w:rFonts w:ascii="Arial"/>
          <w:sz w:val="21"/>
        </w:rPr>
      </w:pPr>
    </w:p>
    <w:p w14:paraId="580DA505">
      <w:pPr>
        <w:pStyle w:val="2"/>
        <w:spacing w:before="143" w:line="219" w:lineRule="auto"/>
        <w:ind w:left="6"/>
        <w:rPr>
          <w:sz w:val="44"/>
          <w:szCs w:val="44"/>
        </w:rPr>
      </w:pPr>
      <w:bookmarkStart w:id="0" w:name="_GoBack"/>
      <w:r>
        <w:rPr>
          <w:b/>
          <w:bCs/>
          <w:spacing w:val="-3"/>
          <w:sz w:val="44"/>
          <w:szCs w:val="44"/>
        </w:rPr>
        <w:t>深圳市校外培训机构预收费资金管理工作指引</w:t>
      </w:r>
    </w:p>
    <w:bookmarkEnd w:id="0"/>
    <w:p w14:paraId="3ADB3406">
      <w:pPr>
        <w:spacing w:before="145" w:line="222" w:lineRule="auto"/>
        <w:ind w:left="380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(第一版)</w:t>
      </w:r>
    </w:p>
    <w:p w14:paraId="740D95A5">
      <w:pPr>
        <w:spacing w:line="344" w:lineRule="auto"/>
        <w:rPr>
          <w:rFonts w:ascii="Arial"/>
          <w:sz w:val="21"/>
        </w:rPr>
      </w:pPr>
    </w:p>
    <w:p w14:paraId="61E432E3">
      <w:pPr>
        <w:spacing w:line="345" w:lineRule="auto"/>
        <w:rPr>
          <w:rFonts w:ascii="Arial"/>
          <w:sz w:val="21"/>
        </w:rPr>
      </w:pPr>
    </w:p>
    <w:p w14:paraId="3E1F102D">
      <w:pPr>
        <w:spacing w:before="100" w:line="330" w:lineRule="auto"/>
        <w:ind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第一条为规范校外培训机构收费行为，保护校外培训机构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和学生的合法权益，有效防范校外培训机构办学风险，根据《中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华人民共和国民办教育促进法》《中华人民共和国消</w:t>
      </w:r>
      <w:r>
        <w:rPr>
          <w:rFonts w:ascii="仿宋" w:hAnsi="仿宋" w:eastAsia="仿宋" w:cs="仿宋"/>
          <w:spacing w:val="5"/>
          <w:sz w:val="31"/>
          <w:szCs w:val="31"/>
        </w:rPr>
        <w:t>费者权益保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护法》《中华人民共和国未成年人保护法》等法律法规</w:t>
      </w:r>
      <w:r>
        <w:rPr>
          <w:rFonts w:ascii="仿宋" w:hAnsi="仿宋" w:eastAsia="仿宋" w:cs="仿宋"/>
          <w:spacing w:val="5"/>
          <w:sz w:val="31"/>
          <w:szCs w:val="31"/>
        </w:rPr>
        <w:t>和《关于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进一步减轻义务教育阶段学生作业负担和校外培训负担的</w:t>
      </w:r>
      <w:r>
        <w:rPr>
          <w:rFonts w:ascii="仿宋" w:hAnsi="仿宋" w:eastAsia="仿宋" w:cs="仿宋"/>
          <w:spacing w:val="11"/>
          <w:sz w:val="31"/>
          <w:szCs w:val="31"/>
        </w:rPr>
        <w:t>意见》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(中办发〔2021〕40号)《教育部等6部门关</w:t>
      </w:r>
      <w:r>
        <w:rPr>
          <w:rFonts w:ascii="仿宋" w:hAnsi="仿宋" w:eastAsia="仿宋" w:cs="仿宋"/>
          <w:spacing w:val="20"/>
          <w:sz w:val="31"/>
          <w:szCs w:val="31"/>
        </w:rPr>
        <w:t>于加强校外培训机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1"/>
          <w:sz w:val="31"/>
          <w:szCs w:val="31"/>
        </w:rPr>
        <w:t>构预收费监管工作的通知》(教监管函〔2021〕2</w:t>
      </w:r>
      <w:r>
        <w:rPr>
          <w:rFonts w:ascii="仿宋" w:hAnsi="仿宋" w:eastAsia="仿宋" w:cs="仿宋"/>
          <w:spacing w:val="20"/>
          <w:sz w:val="31"/>
          <w:szCs w:val="31"/>
        </w:rPr>
        <w:t>号)等文件精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神，制定本工作指引。</w:t>
      </w:r>
    </w:p>
    <w:p w14:paraId="221B6CC0">
      <w:pPr>
        <w:spacing w:before="219" w:line="315" w:lineRule="auto"/>
        <w:ind w:right="155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第二条本工作指引适用于采用第三方资金托管方式，</w:t>
      </w:r>
      <w:r>
        <w:rPr>
          <w:rFonts w:ascii="仿宋" w:hAnsi="仿宋" w:eastAsia="仿宋" w:cs="仿宋"/>
          <w:spacing w:val="17"/>
          <w:sz w:val="31"/>
          <w:szCs w:val="31"/>
        </w:rPr>
        <w:t>预收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培训费用开展经营活动的本市校外培训机构。校外培训</w:t>
      </w:r>
      <w:r>
        <w:rPr>
          <w:rFonts w:ascii="仿宋" w:hAnsi="仿宋" w:eastAsia="仿宋" w:cs="仿宋"/>
          <w:spacing w:val="5"/>
          <w:sz w:val="31"/>
          <w:szCs w:val="31"/>
        </w:rPr>
        <w:t>机构是指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国家机构以外的社会组织和个人，利用非国家财政性经费、面向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中小学生举办的各类非学历校外教育培训的机构。</w:t>
      </w:r>
    </w:p>
    <w:p w14:paraId="2ED6A771">
      <w:pPr>
        <w:spacing w:before="228" w:line="284" w:lineRule="auto"/>
        <w:ind w:right="151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第三条校外培训机构预收费资金的监督管理遵循依法规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范、风险防范、协同治理的原则。</w:t>
      </w:r>
    </w:p>
    <w:p w14:paraId="58AD9772">
      <w:pPr>
        <w:spacing w:before="198" w:line="345" w:lineRule="auto"/>
        <w:ind w:right="147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学员(含学生家长)和校外培训机构是预收费资金的主要责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任主体。学员应当认真甄别校外培训机构，理性参加培</w:t>
      </w:r>
      <w:r>
        <w:rPr>
          <w:rFonts w:ascii="仿宋" w:hAnsi="仿宋" w:eastAsia="仿宋" w:cs="仿宋"/>
          <w:spacing w:val="5"/>
          <w:sz w:val="31"/>
          <w:szCs w:val="31"/>
        </w:rPr>
        <w:t>训，优先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选用纳入资金监管的培训服务。校外培训机构应当落实资金监管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的各项要求，积极做好预收费的资金缴存工作。银行应当根据本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指引的规定与校外培训机构约定的协议，认真履行资金账户监管</w:t>
      </w:r>
    </w:p>
    <w:p w14:paraId="1D9FC312">
      <w:pPr>
        <w:spacing w:line="345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10" w:h="16850"/>
          <w:pgMar w:top="1432" w:right="1315" w:bottom="1636" w:left="1579" w:header="0" w:footer="1234" w:gutter="0"/>
          <w:cols w:space="720" w:num="1"/>
        </w:sectPr>
      </w:pPr>
    </w:p>
    <w:p w14:paraId="1436278A">
      <w:pPr>
        <w:spacing w:line="277" w:lineRule="auto"/>
        <w:rPr>
          <w:rFonts w:ascii="Arial"/>
          <w:sz w:val="21"/>
        </w:rPr>
      </w:pPr>
    </w:p>
    <w:p w14:paraId="347E9CD9">
      <w:pPr>
        <w:spacing w:line="278" w:lineRule="auto"/>
        <w:rPr>
          <w:rFonts w:ascii="Arial"/>
          <w:sz w:val="21"/>
        </w:rPr>
      </w:pPr>
    </w:p>
    <w:p w14:paraId="469F2046">
      <w:pPr>
        <w:spacing w:line="278" w:lineRule="auto"/>
        <w:rPr>
          <w:rFonts w:ascii="Arial"/>
          <w:sz w:val="21"/>
        </w:rPr>
      </w:pPr>
    </w:p>
    <w:p w14:paraId="3596AE0D">
      <w:pPr>
        <w:spacing w:before="81" w:line="224" w:lineRule="auto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2"/>
          <w:sz w:val="25"/>
          <w:szCs w:val="25"/>
        </w:rPr>
        <w:t>职</w:t>
      </w:r>
      <w:r>
        <w:rPr>
          <w:rFonts w:ascii="仿宋" w:hAnsi="仿宋" w:eastAsia="仿宋" w:cs="仿宋"/>
          <w:spacing w:val="-2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2"/>
          <w:sz w:val="25"/>
          <w:szCs w:val="25"/>
        </w:rPr>
        <w:t>责</w:t>
      </w:r>
      <w:r>
        <w:rPr>
          <w:rFonts w:ascii="仿宋" w:hAnsi="仿宋" w:eastAsia="仿宋" w:cs="仿宋"/>
          <w:spacing w:val="-4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2"/>
          <w:sz w:val="25"/>
          <w:szCs w:val="25"/>
        </w:rPr>
        <w:t>。</w:t>
      </w:r>
    </w:p>
    <w:p w14:paraId="54108C59">
      <w:pPr>
        <w:spacing w:before="218" w:line="346" w:lineRule="auto"/>
        <w:ind w:right="16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校外培训机构主管部门和人民银行深圳市中心支行、深圳银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保监局等金融管理部门根据法律法规和部门职责做好资金监管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的监督指导工作。校外培训机构主管部门监督和指导校外培训机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构落实资金监管要求，金融管理部门指导银行等金融机构配合教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育行政部门依法依规按照协议约定履行资金账户监管职责。</w:t>
      </w:r>
    </w:p>
    <w:p w14:paraId="66211529">
      <w:pPr>
        <w:spacing w:before="3" w:line="304" w:lineRule="auto"/>
        <w:ind w:right="1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第四条校外培训机构开展培训应使用教育部、市场监管总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局制定的《中小学生校外培训服务合同(示范文本)》,严禁利用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不公平格式条款侵害学员合法权益。</w:t>
      </w:r>
    </w:p>
    <w:p w14:paraId="3739EF46">
      <w:pPr>
        <w:spacing w:before="203" w:line="310" w:lineRule="auto"/>
        <w:ind w:right="19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第五条营业执照、收费项目与标准等信息应在校外培训机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构办学场所、网站等显著位置进行公示，并</w:t>
      </w:r>
      <w:r>
        <w:rPr>
          <w:rFonts w:ascii="仿宋" w:hAnsi="仿宋" w:eastAsia="仿宋" w:cs="仿宋"/>
          <w:spacing w:val="5"/>
          <w:sz w:val="31"/>
          <w:szCs w:val="31"/>
        </w:rPr>
        <w:t>于培训服务前向学员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明示。不得在公示的项目和标准外收取其他</w:t>
      </w:r>
      <w:r>
        <w:rPr>
          <w:rFonts w:ascii="仿宋" w:hAnsi="仿宋" w:eastAsia="仿宋" w:cs="仿宋"/>
          <w:spacing w:val="4"/>
          <w:sz w:val="31"/>
          <w:szCs w:val="31"/>
        </w:rPr>
        <w:t>费用，不得以任何名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义向学员摊派费用或者强行集资。</w:t>
      </w:r>
    </w:p>
    <w:p w14:paraId="4656D396">
      <w:pPr>
        <w:spacing w:before="243" w:line="314" w:lineRule="auto"/>
        <w:ind w:right="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第六条校外培训机构收费时段与教学安排应协调一致。按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培训周期收费的，不得一次性收取或变相收取时间跨度超过3个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月的费用；按课时收费的，每科不得一次性收取或变相收取超过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60课时的费用。</w:t>
      </w:r>
    </w:p>
    <w:p w14:paraId="6A7F1839">
      <w:pPr>
        <w:spacing w:before="196" w:line="320" w:lineRule="auto"/>
        <w:ind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第七条校外培训机构应在机构住所地所在区范围内自主选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择一家具备第三方托管条件的银行开设唯一预收费资金专</w:t>
      </w:r>
      <w:r>
        <w:rPr>
          <w:rFonts w:ascii="仿宋" w:hAnsi="仿宋" w:eastAsia="仿宋" w:cs="仿宋"/>
          <w:spacing w:val="17"/>
          <w:sz w:val="31"/>
          <w:szCs w:val="31"/>
        </w:rPr>
        <w:t>用存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款账户(以下简称专用存款账户),由开立</w:t>
      </w:r>
      <w:r>
        <w:rPr>
          <w:rFonts w:ascii="仿宋" w:hAnsi="仿宋" w:eastAsia="仿宋" w:cs="仿宋"/>
          <w:spacing w:val="22"/>
          <w:sz w:val="31"/>
          <w:szCs w:val="31"/>
        </w:rPr>
        <w:t>专用存款账户的银行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作为存管银行(以下简称存管银行)存管预收费资金。存在跨区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多个办学点的校外培训机构，由校外培训机构在机构住所地所在</w:t>
      </w:r>
    </w:p>
    <w:p w14:paraId="670ECCB0">
      <w:pPr>
        <w:spacing w:line="320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10" w:h="16850"/>
          <w:pgMar w:top="1432" w:right="1449" w:bottom="1726" w:left="1599" w:header="0" w:footer="1321" w:gutter="0"/>
          <w:cols w:space="720" w:num="1"/>
        </w:sectPr>
      </w:pPr>
    </w:p>
    <w:p w14:paraId="1E2A290D">
      <w:pPr>
        <w:spacing w:line="259" w:lineRule="auto"/>
        <w:rPr>
          <w:rFonts w:ascii="Arial"/>
          <w:sz w:val="21"/>
        </w:rPr>
      </w:pPr>
    </w:p>
    <w:p w14:paraId="090A3A61">
      <w:pPr>
        <w:spacing w:line="259" w:lineRule="auto"/>
        <w:rPr>
          <w:rFonts w:ascii="Arial"/>
          <w:sz w:val="21"/>
        </w:rPr>
      </w:pPr>
    </w:p>
    <w:p w14:paraId="7A86452E">
      <w:pPr>
        <w:spacing w:line="260" w:lineRule="auto"/>
        <w:rPr>
          <w:rFonts w:ascii="Arial"/>
          <w:sz w:val="21"/>
        </w:rPr>
      </w:pPr>
    </w:p>
    <w:p w14:paraId="7A304E5E">
      <w:pPr>
        <w:spacing w:before="100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区范围内选择一家银行开设唯一专用存款账户。</w:t>
      </w:r>
    </w:p>
    <w:p w14:paraId="13E7D473">
      <w:pPr>
        <w:spacing w:before="203" w:line="345" w:lineRule="auto"/>
        <w:ind w:right="19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学员预收费用须全部进入该监管账户，不得进入校外培训机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构其它账户或控制人个人账户。对于已收取的各类预收费款项，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应当将存量预收费款项划转至专用存款账户。</w:t>
      </w:r>
    </w:p>
    <w:p w14:paraId="4E01EA7E">
      <w:pPr>
        <w:spacing w:before="1" w:line="349" w:lineRule="auto"/>
        <w:ind w:right="75"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对于需要变更专用存款账户开户银行的，校外培训机构应提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交变更申请，教育行政部门审核后，原存管银行将存量资金一并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切换到新的存管银行账户。</w:t>
      </w:r>
    </w:p>
    <w:p w14:paraId="4E744259">
      <w:pPr>
        <w:spacing w:before="6" w:line="354" w:lineRule="auto"/>
        <w:ind w:firstLine="630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8"/>
          <w:sz w:val="31"/>
          <w:szCs w:val="31"/>
        </w:rPr>
        <w:t>校外培训机构应当与存管银行签订专用存款账户管理协议，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明确双方的权利义务，并提供资金监管的必要信息，授权存管银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行对监管账户进行资金监测、向教育行政部门反馈相关预警信息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等操作；管理协议签订后5个工作日内，由培训机构向教育行政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26"/>
          <w:szCs w:val="26"/>
        </w:rPr>
        <w:t>部门备案</w:t>
      </w:r>
      <w:r>
        <w:rPr>
          <w:rFonts w:ascii="仿宋" w:hAnsi="仿宋" w:eastAsia="仿宋" w:cs="仿宋"/>
          <w:spacing w:val="-6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32"/>
          <w:sz w:val="26"/>
          <w:szCs w:val="26"/>
        </w:rPr>
        <w:t>。</w:t>
      </w:r>
    </w:p>
    <w:p w14:paraId="3F8B1B32">
      <w:pPr>
        <w:spacing w:before="30" w:line="358" w:lineRule="auto"/>
        <w:ind w:right="50" w:firstLine="630"/>
        <w:jc w:val="both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第八条校外培训机构按照国家有关规定向学员出具以本机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构名义开具的发票等消费凭证，学员索要消费凭证的，不得以任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何理由拒绝，不得以举办者名义或其他公司名义向学员开具消费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26"/>
          <w:szCs w:val="26"/>
        </w:rPr>
        <w:t>凭证</w:t>
      </w:r>
      <w:r>
        <w:rPr>
          <w:rFonts w:ascii="仿宋" w:hAnsi="仿宋" w:eastAsia="仿宋" w:cs="仿宋"/>
          <w:spacing w:val="-5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14"/>
          <w:sz w:val="26"/>
          <w:szCs w:val="26"/>
        </w:rPr>
        <w:t>。</w:t>
      </w:r>
    </w:p>
    <w:p w14:paraId="59485F1C">
      <w:pPr>
        <w:spacing w:before="4" w:line="307" w:lineRule="auto"/>
        <w:ind w:right="74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第九条校外培训机构应定期向机构主管部门提交专用存款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账户的预收金额、剩余(未培训课时)金额、学</w:t>
      </w:r>
      <w:r>
        <w:rPr>
          <w:rFonts w:ascii="仿宋" w:hAnsi="仿宋" w:eastAsia="仿宋" w:cs="仿宋"/>
          <w:spacing w:val="16"/>
          <w:sz w:val="31"/>
          <w:szCs w:val="31"/>
        </w:rPr>
        <w:t>员人数等基本信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息。</w:t>
      </w:r>
    </w:p>
    <w:p w14:paraId="0A28DAF5">
      <w:pPr>
        <w:spacing w:before="211" w:line="305" w:lineRule="auto"/>
        <w:ind w:right="74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第十条面向中小学生的培训，校外培训机构不得收取以消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费贷等贷款方式缴纳的培训费用。校外培训</w:t>
      </w:r>
      <w:r>
        <w:rPr>
          <w:rFonts w:ascii="仿宋" w:hAnsi="仿宋" w:eastAsia="仿宋" w:cs="仿宋"/>
          <w:spacing w:val="5"/>
          <w:sz w:val="31"/>
          <w:szCs w:val="31"/>
        </w:rPr>
        <w:t>机构不得诱导其他年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龄段学员使用贷款缴纳培训费用。</w:t>
      </w:r>
    </w:p>
    <w:p w14:paraId="61FF2A08">
      <w:pPr>
        <w:spacing w:line="305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10" w:h="16850"/>
          <w:pgMar w:top="1432" w:right="1405" w:bottom="1666" w:left="1589" w:header="0" w:footer="1264" w:gutter="0"/>
          <w:cols w:space="720" w:num="1"/>
        </w:sectPr>
      </w:pPr>
    </w:p>
    <w:p w14:paraId="382D0B76">
      <w:pPr>
        <w:spacing w:line="243" w:lineRule="auto"/>
        <w:rPr>
          <w:rFonts w:ascii="Arial"/>
          <w:sz w:val="21"/>
        </w:rPr>
      </w:pPr>
    </w:p>
    <w:p w14:paraId="0D5E4046">
      <w:pPr>
        <w:spacing w:line="243" w:lineRule="auto"/>
        <w:rPr>
          <w:rFonts w:ascii="Arial"/>
          <w:sz w:val="21"/>
        </w:rPr>
      </w:pPr>
    </w:p>
    <w:p w14:paraId="753E0E01">
      <w:pPr>
        <w:spacing w:line="243" w:lineRule="auto"/>
        <w:rPr>
          <w:rFonts w:ascii="Arial"/>
          <w:sz w:val="21"/>
        </w:rPr>
      </w:pPr>
    </w:p>
    <w:p w14:paraId="415F20AC">
      <w:pPr>
        <w:spacing w:before="101" w:line="344" w:lineRule="auto"/>
        <w:ind w:right="91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第十一条专用存款账户内的款项仅作为存管银行的一般性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存款，存管银行不可挪作投资、理财等其他用途。专用存款账户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资金仅允许存管银行根据本指引规定及和校外培训机</w:t>
      </w:r>
      <w:r>
        <w:rPr>
          <w:rFonts w:ascii="仿宋" w:hAnsi="仿宋" w:eastAsia="仿宋" w:cs="仿宋"/>
          <w:spacing w:val="16"/>
          <w:sz w:val="31"/>
          <w:szCs w:val="31"/>
        </w:rPr>
        <w:t>构合同约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定划转到结算账户。对划转到结算账户的资金，校外培训机构可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按需支取使用。</w:t>
      </w:r>
    </w:p>
    <w:p w14:paraId="0476142E">
      <w:pPr>
        <w:spacing w:before="4" w:line="344" w:lineRule="auto"/>
        <w:ind w:right="99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第十二条存管银行对专用存款账户资金的监</w:t>
      </w:r>
      <w:r>
        <w:rPr>
          <w:rFonts w:ascii="仿宋" w:hAnsi="仿宋" w:eastAsia="仿宋" w:cs="仿宋"/>
          <w:spacing w:val="17"/>
          <w:sz w:val="31"/>
          <w:szCs w:val="31"/>
        </w:rPr>
        <w:t>管方式，采用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“一课一销”或按约定进度释放资金的方式进</w:t>
      </w:r>
      <w:r>
        <w:rPr>
          <w:rFonts w:ascii="仿宋" w:hAnsi="仿宋" w:eastAsia="仿宋" w:cs="仿宋"/>
          <w:spacing w:val="5"/>
          <w:sz w:val="31"/>
          <w:szCs w:val="31"/>
        </w:rPr>
        <w:t>行。学员购买培训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课程或者服务的费用，直接转入专用存款账户的资金。预收费资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金转入专用存款账户即进入监管状态。</w:t>
      </w:r>
    </w:p>
    <w:p w14:paraId="1DA4614E">
      <w:pPr>
        <w:spacing w:before="5" w:line="351" w:lineRule="auto"/>
        <w:ind w:right="121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第十三条学员在课程开始前提出退费的，校外培训</w:t>
      </w:r>
      <w:r>
        <w:rPr>
          <w:rFonts w:ascii="仿宋" w:hAnsi="仿宋" w:eastAsia="仿宋" w:cs="仿宋"/>
          <w:spacing w:val="16"/>
          <w:sz w:val="31"/>
          <w:szCs w:val="31"/>
        </w:rPr>
        <w:t>机构原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则上在15日内按原渠道一次性退还所有费用。</w:t>
      </w:r>
    </w:p>
    <w:p w14:paraId="18A740EF">
      <w:pPr>
        <w:spacing w:line="346" w:lineRule="auto"/>
        <w:ind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学员在课程开始后提出退费要求的，应按已完成课时的比例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扣除相应费用，其余费用原则上在30日内按原渠道一次性退还。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合同条款另有约定且不违反上述退费原则的除外。</w:t>
      </w:r>
    </w:p>
    <w:p w14:paraId="7F03AC91">
      <w:pPr>
        <w:spacing w:before="3" w:line="304" w:lineRule="auto"/>
        <w:ind w:right="39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第十四条学员与校外培训机构发生退费纠纷的，校外培训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机构不得以资金监管或学员使用培训贷方式缴纳培训费用为由，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拒绝学员的合理诉求。</w:t>
      </w:r>
    </w:p>
    <w:p w14:paraId="03E2C305">
      <w:pPr>
        <w:spacing w:before="207" w:line="284" w:lineRule="auto"/>
        <w:ind w:right="159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第十五条学员与校外培训机构因收退费问题发生争议的，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可以通过下列途径解决：</w:t>
      </w:r>
    </w:p>
    <w:p w14:paraId="785571B6">
      <w:pPr>
        <w:spacing w:before="215" w:line="222" w:lineRule="auto"/>
        <w:ind w:left="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(一)学员与校外培训机构协商解决；</w:t>
      </w:r>
    </w:p>
    <w:p w14:paraId="6B05E889">
      <w:pPr>
        <w:spacing w:before="195" w:line="220" w:lineRule="auto"/>
        <w:ind w:left="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(二)请求消费者协会或依法成立的其他调解组织调解；</w:t>
      </w:r>
    </w:p>
    <w:p w14:paraId="3D20A1BA">
      <w:pPr>
        <w:spacing w:before="212" w:line="222" w:lineRule="auto"/>
        <w:ind w:left="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(三)向校外培训机构主管部门投诉；</w:t>
      </w:r>
    </w:p>
    <w:p w14:paraId="024ABFA1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10" w:h="16850"/>
          <w:pgMar w:top="1432" w:right="1345" w:bottom="1746" w:left="1609" w:header="0" w:footer="1344" w:gutter="0"/>
          <w:cols w:space="720" w:num="1"/>
        </w:sectPr>
      </w:pPr>
    </w:p>
    <w:p w14:paraId="409A2226">
      <w:pPr>
        <w:spacing w:line="272" w:lineRule="auto"/>
        <w:rPr>
          <w:rFonts w:ascii="Arial"/>
          <w:sz w:val="21"/>
        </w:rPr>
      </w:pPr>
    </w:p>
    <w:p w14:paraId="0A9FCA05">
      <w:pPr>
        <w:spacing w:line="273" w:lineRule="auto"/>
        <w:rPr>
          <w:rFonts w:ascii="Arial"/>
          <w:sz w:val="21"/>
        </w:rPr>
      </w:pPr>
    </w:p>
    <w:p w14:paraId="7FB320F3">
      <w:pPr>
        <w:spacing w:line="273" w:lineRule="auto"/>
        <w:rPr>
          <w:rFonts w:ascii="Arial"/>
          <w:sz w:val="21"/>
        </w:rPr>
      </w:pPr>
    </w:p>
    <w:p w14:paraId="7F89C1D0">
      <w:pPr>
        <w:spacing w:before="101" w:line="285" w:lineRule="auto"/>
        <w:ind w:right="52" w:firstLine="7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 xml:space="preserve">(四)根据与校外培训机构达成的仲裁协议提请仲裁机构仲 </w:t>
      </w:r>
      <w:r>
        <w:rPr>
          <w:rFonts w:ascii="仿宋" w:hAnsi="仿宋" w:eastAsia="仿宋" w:cs="仿宋"/>
          <w:spacing w:val="-14"/>
          <w:sz w:val="31"/>
          <w:szCs w:val="31"/>
        </w:rPr>
        <w:t>裁；</w:t>
      </w:r>
    </w:p>
    <w:p w14:paraId="7D1CDC93">
      <w:pPr>
        <w:spacing w:before="207" w:line="222" w:lineRule="auto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(五)向人民法院提起诉讼。</w:t>
      </w:r>
    </w:p>
    <w:p w14:paraId="298096D6">
      <w:pPr>
        <w:spacing w:before="204" w:line="315" w:lineRule="auto"/>
        <w:ind w:right="30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第十六条校外培训机构不配合资金监管的，由教育行政部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门责令整改，情节严重或拒不整改的，移交执法部门调查处理，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并依法依规实施信用公示。对学员权益造成损害的，校外培训机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构依法承担侵权责任。</w:t>
      </w:r>
    </w:p>
    <w:p w14:paraId="0B85557D">
      <w:pPr>
        <w:spacing w:before="207" w:line="328" w:lineRule="auto"/>
        <w:ind w:right="59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 xml:space="preserve">第十七条存管银行定期将校外培训机构预收费资金信息和 </w:t>
      </w:r>
      <w:r>
        <w:rPr>
          <w:rFonts w:ascii="仿宋" w:hAnsi="仿宋" w:eastAsia="仿宋" w:cs="仿宋"/>
          <w:spacing w:val="6"/>
          <w:sz w:val="31"/>
          <w:szCs w:val="31"/>
        </w:rPr>
        <w:t>风险情况与教育行政部门共享。存管银行根据协议约定对纳入存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管的预收费资金实施常态化监测，对于预收费资金出现单笔交易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金额超过存管金额10%(且当日单笔或者累计交易达30万元以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上);单个月累计支出金额超过存管金额50%的大额资金异动情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况的，按照相关标准和约定时限(一般为资金出现异动后3个工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作日内),及时向教育行政部门进行提示。</w:t>
      </w:r>
    </w:p>
    <w:p w14:paraId="48886276">
      <w:pPr>
        <w:spacing w:before="221" w:line="345" w:lineRule="auto"/>
        <w:ind w:right="52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金融管理部门配合教育行政部门督促存管银行开展相关资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金监测和风险提示工作。依据风险程度，教育行政部门可向社会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发布风险预警。</w:t>
      </w:r>
    </w:p>
    <w:p w14:paraId="29E039A9">
      <w:pPr>
        <w:spacing w:before="2" w:line="304" w:lineRule="auto"/>
        <w:ind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第十八条在预收费资金监管过程中，有关部门、机构、存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管银行应当对收集的学员及家长个人信息严</w:t>
      </w:r>
      <w:r>
        <w:rPr>
          <w:rFonts w:ascii="仿宋" w:hAnsi="仿宋" w:eastAsia="仿宋" w:cs="仿宋"/>
          <w:spacing w:val="8"/>
          <w:sz w:val="31"/>
          <w:szCs w:val="31"/>
        </w:rPr>
        <w:t>格保密，不得泄露、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出售或者非法向他人提供。</w:t>
      </w:r>
    </w:p>
    <w:p w14:paraId="0F10951A">
      <w:pPr>
        <w:spacing w:before="206" w:line="286" w:lineRule="auto"/>
        <w:ind w:right="64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第十九条校外培训机构、存管银行工作人员在资金监管工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作中玩忽职守、滥用职权、徇私舞弊的，依法追究责任，涉嫌职</w:t>
      </w:r>
    </w:p>
    <w:p w14:paraId="287B8267">
      <w:pPr>
        <w:spacing w:line="286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10" w:h="16850"/>
          <w:pgMar w:top="1432" w:right="1415" w:bottom="1626" w:left="1569" w:header="0" w:footer="1224" w:gutter="0"/>
          <w:cols w:space="720" w:num="1"/>
        </w:sectPr>
      </w:pPr>
    </w:p>
    <w:p w14:paraId="37E75336">
      <w:pPr>
        <w:spacing w:line="259" w:lineRule="auto"/>
        <w:rPr>
          <w:rFonts w:ascii="Arial"/>
          <w:sz w:val="21"/>
        </w:rPr>
      </w:pPr>
    </w:p>
    <w:p w14:paraId="6FBF8968">
      <w:pPr>
        <w:spacing w:line="259" w:lineRule="auto"/>
        <w:rPr>
          <w:rFonts w:ascii="Arial"/>
          <w:sz w:val="21"/>
        </w:rPr>
      </w:pPr>
    </w:p>
    <w:p w14:paraId="01698EE0">
      <w:pPr>
        <w:spacing w:line="260" w:lineRule="auto"/>
        <w:rPr>
          <w:rFonts w:ascii="Arial"/>
          <w:sz w:val="21"/>
        </w:rPr>
      </w:pPr>
    </w:p>
    <w:p w14:paraId="2A08094D">
      <w:pPr>
        <w:spacing w:line="260" w:lineRule="auto"/>
        <w:rPr>
          <w:rFonts w:ascii="Arial"/>
          <w:sz w:val="21"/>
        </w:rPr>
      </w:pPr>
    </w:p>
    <w:p w14:paraId="41BB0175">
      <w:pPr>
        <w:spacing w:line="260" w:lineRule="auto"/>
        <w:rPr>
          <w:rFonts w:ascii="Arial"/>
          <w:sz w:val="21"/>
        </w:rPr>
      </w:pPr>
    </w:p>
    <w:p w14:paraId="3D4EFA40">
      <w:pPr>
        <w:spacing w:line="260" w:lineRule="auto"/>
        <w:rPr>
          <w:rFonts w:ascii="Arial"/>
          <w:sz w:val="21"/>
        </w:rPr>
      </w:pPr>
    </w:p>
    <w:p w14:paraId="63F77CA3">
      <w:pPr>
        <w:spacing w:line="260" w:lineRule="auto"/>
        <w:rPr>
          <w:rFonts w:ascii="Arial"/>
          <w:sz w:val="21"/>
        </w:rPr>
      </w:pPr>
    </w:p>
    <w:p w14:paraId="1273B4FF">
      <w:pPr>
        <w:spacing w:before="98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务侵占等违法犯罪行为的，移交司法机关处理。</w:t>
      </w:r>
    </w:p>
    <w:p w14:paraId="3D08B519">
      <w:pPr>
        <w:spacing w:before="198" w:line="330" w:lineRule="auto"/>
        <w:ind w:right="97" w:firstLine="6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7"/>
          <w:sz w:val="30"/>
          <w:szCs w:val="30"/>
        </w:rPr>
        <w:t>第二十条市教育局将会同相关部门，探索通过搭建</w:t>
      </w:r>
      <w:r>
        <w:rPr>
          <w:rFonts w:ascii="仿宋" w:hAnsi="仿宋" w:eastAsia="仿宋" w:cs="仿宋"/>
          <w:spacing w:val="26"/>
          <w:sz w:val="30"/>
          <w:szCs w:val="30"/>
        </w:rPr>
        <w:t>全市层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面资金监管平台等方式，为各区、各单位资金监管提供信息化支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撑。各区教育行政部门也可在确保安全、公平、可靠、易用的前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提下，会同相关部门自行组织开发校外培训机构</w:t>
      </w:r>
      <w:r>
        <w:rPr>
          <w:rFonts w:ascii="仿宋" w:hAnsi="仿宋" w:eastAsia="仿宋" w:cs="仿宋"/>
          <w:spacing w:val="15"/>
          <w:sz w:val="30"/>
          <w:szCs w:val="30"/>
        </w:rPr>
        <w:t>预收费资金监管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平台，提高资金监管效率。</w:t>
      </w:r>
    </w:p>
    <w:p w14:paraId="063B744D">
      <w:pPr>
        <w:spacing w:before="218" w:line="292" w:lineRule="auto"/>
        <w:ind w:firstLine="6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第二十一条本工作指引为指导意见，由发文机关负责解释。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各区可结合实际制定具体的操作细则。</w:t>
      </w:r>
    </w:p>
    <w:p w14:paraId="4F10D694">
      <w:pPr>
        <w:spacing w:before="213" w:line="292" w:lineRule="auto"/>
        <w:ind w:right="111" w:firstLine="6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第二十二条本工作指引执行期间，国家和省有新规定、新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要求的，执行新规定、新要求。</w:t>
      </w:r>
    </w:p>
    <w:p w14:paraId="7F459A81">
      <w:pPr>
        <w:spacing w:line="241" w:lineRule="auto"/>
        <w:rPr>
          <w:rFonts w:ascii="Arial"/>
          <w:sz w:val="21"/>
        </w:rPr>
      </w:pPr>
    </w:p>
    <w:p w14:paraId="37372EB2">
      <w:pPr>
        <w:spacing w:line="242" w:lineRule="auto"/>
        <w:rPr>
          <w:rFonts w:ascii="Arial"/>
          <w:sz w:val="21"/>
        </w:rPr>
      </w:pPr>
    </w:p>
    <w:p w14:paraId="77A332D5">
      <w:pPr>
        <w:spacing w:line="242" w:lineRule="auto"/>
        <w:rPr>
          <w:rFonts w:ascii="Arial"/>
          <w:sz w:val="21"/>
        </w:rPr>
      </w:pPr>
    </w:p>
    <w:p w14:paraId="5C8EC0EA">
      <w:pPr>
        <w:spacing w:line="242" w:lineRule="auto"/>
        <w:rPr>
          <w:rFonts w:ascii="Arial"/>
          <w:sz w:val="21"/>
        </w:rPr>
      </w:pPr>
    </w:p>
    <w:p w14:paraId="355259E9">
      <w:pPr>
        <w:spacing w:line="242" w:lineRule="auto"/>
        <w:rPr>
          <w:rFonts w:ascii="Arial"/>
          <w:sz w:val="21"/>
        </w:rPr>
      </w:pPr>
    </w:p>
    <w:p w14:paraId="597F87B6">
      <w:pPr>
        <w:spacing w:line="242" w:lineRule="auto"/>
        <w:rPr>
          <w:rFonts w:ascii="Arial"/>
          <w:sz w:val="21"/>
        </w:rPr>
      </w:pPr>
    </w:p>
    <w:p w14:paraId="40272C2B">
      <w:pPr>
        <w:spacing w:line="242" w:lineRule="auto"/>
        <w:rPr>
          <w:rFonts w:ascii="Arial"/>
          <w:sz w:val="21"/>
        </w:rPr>
      </w:pPr>
    </w:p>
    <w:p w14:paraId="2C0ED766">
      <w:pPr>
        <w:spacing w:line="242" w:lineRule="auto"/>
        <w:rPr>
          <w:rFonts w:ascii="Arial"/>
          <w:sz w:val="21"/>
        </w:rPr>
      </w:pPr>
    </w:p>
    <w:p w14:paraId="356ECA68">
      <w:pPr>
        <w:spacing w:line="242" w:lineRule="auto"/>
        <w:rPr>
          <w:rFonts w:ascii="Arial"/>
          <w:sz w:val="21"/>
        </w:rPr>
      </w:pPr>
    </w:p>
    <w:p w14:paraId="29710D1D">
      <w:pPr>
        <w:spacing w:line="242" w:lineRule="auto"/>
        <w:rPr>
          <w:rFonts w:ascii="Arial"/>
          <w:sz w:val="21"/>
        </w:rPr>
      </w:pPr>
    </w:p>
    <w:p w14:paraId="6FF75487">
      <w:pPr>
        <w:spacing w:line="242" w:lineRule="auto"/>
        <w:rPr>
          <w:rFonts w:ascii="Arial"/>
          <w:sz w:val="21"/>
        </w:rPr>
      </w:pPr>
    </w:p>
    <w:p w14:paraId="6F4C7280">
      <w:pPr>
        <w:spacing w:line="242" w:lineRule="auto"/>
        <w:rPr>
          <w:rFonts w:ascii="Arial"/>
          <w:sz w:val="21"/>
        </w:rPr>
      </w:pPr>
    </w:p>
    <w:p w14:paraId="5DD52B04">
      <w:pPr>
        <w:spacing w:line="242" w:lineRule="auto"/>
        <w:rPr>
          <w:rFonts w:ascii="Arial"/>
          <w:sz w:val="21"/>
        </w:rPr>
      </w:pPr>
    </w:p>
    <w:p w14:paraId="5D5796DE">
      <w:pPr>
        <w:spacing w:line="242" w:lineRule="auto"/>
        <w:rPr>
          <w:rFonts w:ascii="Arial"/>
          <w:sz w:val="21"/>
        </w:rPr>
      </w:pPr>
    </w:p>
    <w:p w14:paraId="78D9DD80">
      <w:pPr>
        <w:spacing w:line="242" w:lineRule="auto"/>
        <w:rPr>
          <w:rFonts w:ascii="Arial"/>
          <w:sz w:val="21"/>
        </w:rPr>
      </w:pPr>
    </w:p>
    <w:p w14:paraId="1A3A3EB3">
      <w:pPr>
        <w:spacing w:line="242" w:lineRule="auto"/>
        <w:rPr>
          <w:rFonts w:ascii="Arial"/>
          <w:sz w:val="21"/>
        </w:rPr>
      </w:pPr>
    </w:p>
    <w:p w14:paraId="696C58B9">
      <w:pPr>
        <w:spacing w:line="242" w:lineRule="auto"/>
        <w:rPr>
          <w:rFonts w:ascii="Arial"/>
          <w:sz w:val="21"/>
        </w:rPr>
      </w:pPr>
    </w:p>
    <w:p w14:paraId="69C92FA2">
      <w:pPr>
        <w:spacing w:line="242" w:lineRule="auto"/>
        <w:rPr>
          <w:rFonts w:ascii="Arial"/>
          <w:sz w:val="21"/>
        </w:rPr>
      </w:pPr>
    </w:p>
    <w:p w14:paraId="78FE0996">
      <w:pPr>
        <w:spacing w:line="242" w:lineRule="auto"/>
        <w:rPr>
          <w:rFonts w:ascii="Arial"/>
          <w:sz w:val="21"/>
        </w:rPr>
      </w:pPr>
    </w:p>
    <w:p w14:paraId="3E710CD3">
      <w:pPr>
        <w:spacing w:line="242" w:lineRule="auto"/>
        <w:rPr>
          <w:rFonts w:ascii="Arial"/>
          <w:sz w:val="21"/>
        </w:rPr>
      </w:pPr>
    </w:p>
    <w:p w14:paraId="0E35460A">
      <w:pPr>
        <w:spacing w:line="242" w:lineRule="auto"/>
        <w:rPr>
          <w:rFonts w:ascii="Arial"/>
          <w:sz w:val="21"/>
        </w:rPr>
      </w:pPr>
    </w:p>
    <w:p w14:paraId="27057ED7">
      <w:pPr>
        <w:spacing w:line="228" w:lineRule="exact"/>
        <w:rPr>
          <w:rFonts w:ascii="Arial"/>
          <w:sz w:val="19"/>
        </w:rPr>
      </w:pPr>
    </w:p>
    <w:sectPr>
      <w:headerReference r:id="rId10" w:type="default"/>
      <w:footerReference r:id="rId11" w:type="default"/>
      <w:pgSz w:w="11910" w:h="16850"/>
      <w:pgMar w:top="400" w:right="1390" w:bottom="1687" w:left="1579" w:header="0" w:footer="12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7733D">
    <w:pPr>
      <w:pStyle w:val="2"/>
      <w:spacing w:line="233" w:lineRule="auto"/>
      <w:ind w:left="7890"/>
      <w:rPr>
        <w:sz w:val="31"/>
        <w:szCs w:val="31"/>
      </w:rPr>
    </w:pPr>
    <w:r>
      <w:rPr>
        <w:spacing w:val="-4"/>
        <w:sz w:val="31"/>
        <w:szCs w:val="31"/>
      </w:rPr>
      <w:t>—</w:t>
    </w:r>
    <w:r>
      <w:rPr>
        <w:rFonts w:hint="eastAsia"/>
        <w:spacing w:val="-4"/>
        <w:sz w:val="31"/>
        <w:szCs w:val="31"/>
        <w:lang w:val="en-US" w:eastAsia="zh-CN"/>
      </w:rPr>
      <w:t>1</w:t>
    </w:r>
    <w:r>
      <w:rPr>
        <w:spacing w:val="-4"/>
        <w:sz w:val="31"/>
        <w:szCs w:val="3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1EFF5">
    <w:pPr>
      <w:pStyle w:val="2"/>
      <w:spacing w:line="235" w:lineRule="auto"/>
      <w:rPr>
        <w:sz w:val="31"/>
        <w:szCs w:val="31"/>
      </w:rPr>
    </w:pPr>
    <w:r>
      <w:rPr>
        <w:spacing w:val="-4"/>
        <w:sz w:val="31"/>
        <w:szCs w:val="31"/>
      </w:rPr>
      <w:t>—</w:t>
    </w:r>
    <w:r>
      <w:rPr>
        <w:rFonts w:hint="eastAsia"/>
        <w:spacing w:val="-4"/>
        <w:sz w:val="31"/>
        <w:szCs w:val="31"/>
        <w:lang w:val="en-US" w:eastAsia="zh-CN"/>
      </w:rPr>
      <w:t>2</w:t>
    </w:r>
    <w:r>
      <w:rPr>
        <w:spacing w:val="-4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5EFDE">
    <w:pPr>
      <w:pStyle w:val="2"/>
      <w:spacing w:line="233" w:lineRule="auto"/>
      <w:ind w:left="7870"/>
      <w:rPr>
        <w:sz w:val="31"/>
        <w:szCs w:val="31"/>
      </w:rPr>
    </w:pPr>
    <w:r>
      <w:rPr>
        <w:spacing w:val="-4"/>
        <w:sz w:val="31"/>
        <w:szCs w:val="31"/>
      </w:rPr>
      <w:t>—</w:t>
    </w:r>
    <w:r>
      <w:rPr>
        <w:rFonts w:hint="eastAsia"/>
        <w:spacing w:val="-4"/>
        <w:sz w:val="31"/>
        <w:szCs w:val="31"/>
        <w:lang w:val="en-US" w:eastAsia="zh-CN"/>
      </w:rPr>
      <w:t>3</w:t>
    </w:r>
    <w:r>
      <w:rPr>
        <w:spacing w:val="-4"/>
        <w:sz w:val="31"/>
        <w:szCs w:val="31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9F7F3">
    <w:pPr>
      <w:pStyle w:val="2"/>
      <w:spacing w:line="233" w:lineRule="auto"/>
      <w:rPr>
        <w:sz w:val="31"/>
        <w:szCs w:val="31"/>
      </w:rPr>
    </w:pPr>
    <w:r>
      <w:rPr>
        <w:spacing w:val="-4"/>
        <w:sz w:val="31"/>
        <w:szCs w:val="31"/>
      </w:rPr>
      <w:t>—</w:t>
    </w:r>
    <w:r>
      <w:rPr>
        <w:rFonts w:hint="eastAsia"/>
        <w:spacing w:val="-4"/>
        <w:sz w:val="31"/>
        <w:szCs w:val="31"/>
        <w:lang w:val="en-US" w:eastAsia="zh-CN"/>
      </w:rPr>
      <w:t>4</w:t>
    </w:r>
    <w:r>
      <w:rPr>
        <w:spacing w:val="-4"/>
        <w:sz w:val="31"/>
        <w:szCs w:val="31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E94C6">
    <w:pPr>
      <w:pStyle w:val="2"/>
      <w:spacing w:line="233" w:lineRule="auto"/>
      <w:ind w:left="7890"/>
      <w:rPr>
        <w:sz w:val="31"/>
        <w:szCs w:val="31"/>
      </w:rPr>
    </w:pPr>
    <w:r>
      <w:rPr>
        <w:spacing w:val="-4"/>
        <w:sz w:val="31"/>
        <w:szCs w:val="31"/>
      </w:rPr>
      <w:t>—</w:t>
    </w:r>
    <w:r>
      <w:rPr>
        <w:rFonts w:hint="eastAsia"/>
        <w:spacing w:val="-4"/>
        <w:sz w:val="31"/>
        <w:szCs w:val="31"/>
        <w:lang w:val="en-US" w:eastAsia="zh-CN"/>
      </w:rPr>
      <w:t>5</w:t>
    </w:r>
    <w:r>
      <w:rPr>
        <w:spacing w:val="-4"/>
        <w:sz w:val="31"/>
        <w:szCs w:val="31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50C7F">
    <w:pPr>
      <w:pStyle w:val="2"/>
      <w:spacing w:line="233" w:lineRule="auto"/>
      <w:rPr>
        <w:sz w:val="30"/>
        <w:szCs w:val="30"/>
      </w:rPr>
    </w:pPr>
    <w:r>
      <w:rPr>
        <w:spacing w:val="-4"/>
        <w:sz w:val="30"/>
        <w:szCs w:val="30"/>
      </w:rPr>
      <w:t>—</w:t>
    </w:r>
    <w:r>
      <w:rPr>
        <w:rFonts w:hint="eastAsia"/>
        <w:spacing w:val="-4"/>
        <w:sz w:val="30"/>
        <w:szCs w:val="30"/>
        <w:lang w:val="en-US" w:eastAsia="zh-CN"/>
      </w:rPr>
      <w:t>6</w:t>
    </w:r>
    <w:r>
      <w:rPr>
        <w:spacing w:val="-4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18FE9">
    <w:pPr>
      <w:spacing w:line="14" w:lineRule="auto"/>
      <w:rPr>
        <w:rFonts w:ascii="Arial"/>
        <w:sz w:val="2"/>
      </w:rPr>
    </w:pPr>
    <w:r>
      <w:pict>
        <v:shape id="WordPictureWatermark2" o:spid="_x0000_s2049" o:spt="75" type="#_x0000_t75" style="position:absolute;left:0pt;margin-left:163pt;margin-top:553.9pt;height:115.6pt;width:114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49F38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0"/>
      <w:szCs w:val="8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header" Target="header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3276</Words>
  <Characters>3381</Characters>
  <TotalTime>15</TotalTime>
  <ScaleCrop>false</ScaleCrop>
  <LinksUpToDate>false</LinksUpToDate>
  <CharactersWithSpaces>3527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2025-05-23T10:37:00Z</dcterms:created>
  <dc:creator>szedu</dc:creator>
  <cp:lastModifiedBy>社工小林</cp:lastModifiedBy>
  <dcterms:modified xsi:type="dcterms:W3CDTF">2025-05-23T02:54:51Z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2025-05-23T10:37:31Z</vt:filetime>
  </property>
  <property fmtid="{D5CDD505-2E9C-101B-9397-08002B2CF9AE}" pid="4" name="UsrData">
    <vt:lpwstr>682fdf695e7b0b001f84698dwl</vt:lpwstr>
  </property>
  <property fmtid="{D5CDD505-2E9C-101B-9397-08002B2CF9AE}" pid="5" name="KSOTemplateDocerSaveRecord">
    <vt:lpwstr>eyJoZGlkIjoiMzAzMTBmMzYzMTI1NjJhNjZiZmY4Nzg4MGIwNTY5ZDUiLCJ1c2VySWQiOiIxNTMzNjQ5NjY0In0=</vt:lpwstr>
  </property>
  <property fmtid="{D5CDD505-2E9C-101B-9397-08002B2CF9AE}" pid="6" name="KSOProductBuildVer">
    <vt:lpwstr>2052-12.1.0.21171</vt:lpwstr>
  </property>
  <property fmtid="{D5CDD505-2E9C-101B-9397-08002B2CF9AE}" pid="7" name="ICV">
    <vt:lpwstr>B87C94AF312A41D4A13E9F229F624B97_13</vt:lpwstr>
  </property>
</Properties>
</file>